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F7" w:rsidRPr="004950F7" w:rsidRDefault="004950F7" w:rsidP="00306C66">
      <w:pPr>
        <w:jc w:val="center"/>
        <w:rPr>
          <w:rFonts w:asciiTheme="minorHAnsi" w:eastAsia="Times New Roman" w:hAnsiTheme="minorHAnsi" w:cstheme="minorHAnsi"/>
          <w:b/>
          <w:sz w:val="24"/>
          <w:szCs w:val="24"/>
          <w:lang w:eastAsia="fr-FR"/>
        </w:rPr>
      </w:pPr>
      <w:r w:rsidRPr="004950F7">
        <w:rPr>
          <w:rFonts w:asciiTheme="minorHAnsi" w:eastAsia="Times New Roman" w:hAnsiTheme="minorHAnsi" w:cstheme="minorHAnsi"/>
          <w:b/>
          <w:sz w:val="24"/>
          <w:szCs w:val="24"/>
          <w:lang w:eastAsia="fr-FR"/>
        </w:rPr>
        <w:t>Principe de constructibilité limitée</w:t>
      </w:r>
    </w:p>
    <w:p w:rsidR="004950F7" w:rsidRPr="004950F7" w:rsidRDefault="004950F7" w:rsidP="00306C66">
      <w:pPr>
        <w:jc w:val="center"/>
        <w:rPr>
          <w:rFonts w:asciiTheme="minorHAnsi" w:eastAsia="Times New Roman" w:hAnsiTheme="minorHAnsi" w:cstheme="minorHAnsi"/>
          <w:b/>
          <w:sz w:val="24"/>
          <w:szCs w:val="24"/>
          <w:lang w:eastAsia="fr-FR"/>
        </w:rPr>
      </w:pPr>
    </w:p>
    <w:p w:rsidR="004950F7" w:rsidRPr="004950F7" w:rsidRDefault="004950F7" w:rsidP="004950F7">
      <w:pPr>
        <w:jc w:val="center"/>
        <w:rPr>
          <w:rFonts w:asciiTheme="minorHAnsi" w:hAnsiTheme="minorHAnsi" w:cstheme="minorHAnsi"/>
        </w:rPr>
      </w:pPr>
      <w:r w:rsidRPr="004950F7">
        <w:rPr>
          <w:rFonts w:asciiTheme="minorHAnsi" w:hAnsiTheme="minorHAnsi" w:cstheme="minorHAnsi"/>
        </w:rPr>
        <w:t>Article L111-3</w:t>
      </w:r>
    </w:p>
    <w:p w:rsidR="004950F7" w:rsidRPr="004950F7" w:rsidRDefault="004950F7" w:rsidP="004950F7">
      <w:pPr>
        <w:numPr>
          <w:ilvl w:val="0"/>
          <w:numId w:val="1"/>
        </w:numPr>
        <w:spacing w:before="100" w:beforeAutospacing="1" w:after="100" w:afterAutospacing="1"/>
        <w:jc w:val="center"/>
        <w:rPr>
          <w:rFonts w:asciiTheme="minorHAnsi" w:hAnsiTheme="minorHAnsi" w:cstheme="minorHAnsi"/>
        </w:rPr>
      </w:pPr>
      <w:r w:rsidRPr="004950F7">
        <w:rPr>
          <w:rFonts w:asciiTheme="minorHAnsi" w:hAnsiTheme="minorHAnsi" w:cstheme="minorHAnsi"/>
        </w:rPr>
        <w:t xml:space="preserve">Créé par </w:t>
      </w:r>
      <w:hyperlink r:id="rId5" w:anchor="LEGIARTI000031207270" w:history="1">
        <w:r w:rsidRPr="004950F7">
          <w:rPr>
            <w:rStyle w:val="Lienhypertexte"/>
            <w:rFonts w:asciiTheme="minorHAnsi" w:hAnsiTheme="minorHAnsi" w:cstheme="minorHAnsi"/>
          </w:rPr>
          <w:t>ORDONNANCE n°2015-1174 du 23 septembre 2015 - art.</w:t>
        </w:r>
      </w:hyperlink>
    </w:p>
    <w:p w:rsidR="004950F7" w:rsidRPr="004950F7" w:rsidRDefault="004950F7" w:rsidP="004950F7">
      <w:pPr>
        <w:pStyle w:val="NormalWeb"/>
        <w:jc w:val="both"/>
        <w:rPr>
          <w:rFonts w:asciiTheme="minorHAnsi" w:hAnsiTheme="minorHAnsi" w:cstheme="minorHAnsi"/>
        </w:rPr>
      </w:pPr>
      <w:r w:rsidRPr="004950F7">
        <w:rPr>
          <w:rFonts w:asciiTheme="minorHAnsi" w:hAnsiTheme="minorHAnsi" w:cstheme="minorHAnsi"/>
        </w:rPr>
        <w:br/>
        <w:t>En l'absence de plan local d'urbanisme, de tout document d'urbanisme en tenant lieu ou de carte communale, les constructions ne peuvent être autorisées que dans les parties urbanisées de la commune.</w:t>
      </w:r>
    </w:p>
    <w:p w:rsidR="004950F7" w:rsidRPr="004950F7" w:rsidRDefault="004950F7" w:rsidP="004950F7">
      <w:pPr>
        <w:jc w:val="center"/>
        <w:rPr>
          <w:rFonts w:asciiTheme="minorHAnsi" w:hAnsiTheme="minorHAnsi" w:cstheme="minorHAnsi"/>
        </w:rPr>
      </w:pPr>
      <w:r w:rsidRPr="004950F7">
        <w:rPr>
          <w:rFonts w:asciiTheme="minorHAnsi" w:hAnsiTheme="minorHAnsi" w:cstheme="minorHAnsi"/>
        </w:rPr>
        <w:t>Article L111-4</w:t>
      </w:r>
    </w:p>
    <w:p w:rsidR="004950F7" w:rsidRPr="004950F7" w:rsidRDefault="004950F7" w:rsidP="004950F7">
      <w:pPr>
        <w:numPr>
          <w:ilvl w:val="0"/>
          <w:numId w:val="2"/>
        </w:numPr>
        <w:spacing w:before="100" w:beforeAutospacing="1" w:after="100" w:afterAutospacing="1"/>
        <w:jc w:val="center"/>
        <w:rPr>
          <w:rFonts w:asciiTheme="minorHAnsi" w:hAnsiTheme="minorHAnsi" w:cstheme="minorHAnsi"/>
        </w:rPr>
      </w:pPr>
      <w:r w:rsidRPr="004950F7">
        <w:rPr>
          <w:rFonts w:asciiTheme="minorHAnsi" w:hAnsiTheme="minorHAnsi" w:cstheme="minorHAnsi"/>
        </w:rPr>
        <w:t xml:space="preserve">Créé par </w:t>
      </w:r>
      <w:hyperlink r:id="rId6" w:anchor="LEGIARTI000031207270" w:history="1">
        <w:r w:rsidRPr="004950F7">
          <w:rPr>
            <w:rStyle w:val="Lienhypertexte"/>
            <w:rFonts w:asciiTheme="minorHAnsi" w:hAnsiTheme="minorHAnsi" w:cstheme="minorHAnsi"/>
          </w:rPr>
          <w:t>ORDONNANCE n°2015-1174 du 23 septembre 2015 - art.</w:t>
        </w:r>
      </w:hyperlink>
    </w:p>
    <w:p w:rsidR="004950F7" w:rsidRDefault="004950F7" w:rsidP="004950F7">
      <w:pPr>
        <w:pStyle w:val="NormalWeb"/>
        <w:jc w:val="both"/>
        <w:rPr>
          <w:rFonts w:asciiTheme="minorHAnsi" w:hAnsiTheme="minorHAnsi" w:cstheme="minorHAnsi"/>
        </w:rPr>
      </w:pPr>
      <w:r w:rsidRPr="004950F7">
        <w:rPr>
          <w:rFonts w:asciiTheme="minorHAnsi" w:hAnsiTheme="minorHAnsi" w:cstheme="minorHAnsi"/>
        </w:rPr>
        <w:br/>
        <w:t xml:space="preserve">Peuvent toutefois être autorisés en dehors des parties urbanisées de la commune : </w:t>
      </w:r>
    </w:p>
    <w:p w:rsidR="004950F7" w:rsidRDefault="004950F7" w:rsidP="004950F7">
      <w:pPr>
        <w:pStyle w:val="NormalWeb"/>
        <w:jc w:val="both"/>
        <w:rPr>
          <w:rFonts w:asciiTheme="minorHAnsi" w:hAnsiTheme="minorHAnsi" w:cstheme="minorHAnsi"/>
        </w:rPr>
      </w:pPr>
      <w:r w:rsidRPr="004950F7">
        <w:rPr>
          <w:rFonts w:asciiTheme="minorHAnsi" w:hAnsiTheme="minorHAnsi" w:cstheme="minorHAnsi"/>
        </w:rPr>
        <w:t xml:space="preserve">1° L'adaptation, le changement de destination, la réfection, l'extension des constructions existantes ou la construction de bâtiments nouveaux à usage d'habitation à l'intérieur du périmètre regroupant les bâtiments d'une ancienne exploitation agricole, dans le respect des traditions architecturales locales ; </w:t>
      </w:r>
    </w:p>
    <w:p w:rsidR="004950F7" w:rsidRDefault="004950F7" w:rsidP="004950F7">
      <w:pPr>
        <w:pStyle w:val="NormalWeb"/>
        <w:jc w:val="both"/>
        <w:rPr>
          <w:rFonts w:asciiTheme="minorHAnsi" w:hAnsiTheme="minorHAnsi" w:cstheme="minorHAnsi"/>
        </w:rPr>
      </w:pPr>
      <w:r w:rsidRPr="004950F7">
        <w:rPr>
          <w:rFonts w:asciiTheme="minorHAnsi" w:hAnsiTheme="minorHAnsi" w:cstheme="minorHAnsi"/>
        </w:rPr>
        <w:t xml:space="preserve">2° Les constructions et installations nécessaires à l'exploitation agricole, à des équipements collectifs dès lors qu'elles ne sont pas incompatibles avec l'exercice d'une activité agricole, pastorale ou forestière sur le terrain sur lequel elles sont implantées, à la réalisation d'aires d'accueil ou de terrains de passage des gens du voyage, à la mise en valeur des ressources naturelles et à la réalisation d'opérations d'intérêt national ; </w:t>
      </w:r>
    </w:p>
    <w:p w:rsidR="004950F7" w:rsidRDefault="004950F7" w:rsidP="004950F7">
      <w:pPr>
        <w:pStyle w:val="NormalWeb"/>
        <w:jc w:val="both"/>
        <w:rPr>
          <w:rFonts w:asciiTheme="minorHAnsi" w:hAnsiTheme="minorHAnsi" w:cstheme="minorHAnsi"/>
        </w:rPr>
      </w:pPr>
      <w:r w:rsidRPr="004950F7">
        <w:rPr>
          <w:rFonts w:asciiTheme="minorHAnsi" w:hAnsiTheme="minorHAnsi" w:cstheme="minorHAnsi"/>
        </w:rPr>
        <w:t xml:space="preserve">3° Les constructions et installations incompatibles avec le voisinage des zones habitées et l'extension mesurée des constructions et installations existantes ; </w:t>
      </w:r>
    </w:p>
    <w:p w:rsidR="004950F7" w:rsidRDefault="004950F7" w:rsidP="004950F7">
      <w:pPr>
        <w:pStyle w:val="NormalWeb"/>
        <w:jc w:val="both"/>
        <w:rPr>
          <w:rFonts w:asciiTheme="minorHAnsi" w:hAnsiTheme="minorHAnsi" w:cstheme="minorHAnsi"/>
        </w:rPr>
      </w:pPr>
      <w:r w:rsidRPr="004950F7">
        <w:rPr>
          <w:rFonts w:asciiTheme="minorHAnsi" w:hAnsiTheme="minorHAnsi" w:cstheme="minorHAnsi"/>
        </w:rPr>
        <w:t xml:space="preserve">4° Les constructions ou installations, sur délibération motivée du conseil municipal, si celui-ci considère que l'intérêt de la commune, en particulier pour éviter une diminution de la population communale, le justifie, dès lors qu'elles ne portent pas atteinte à la sauvegarde des espaces naturels et des paysages, à la salubrité et à la sécurité publiques, qu'elles n'entraînent pas un surcroît important de dépenses publiques et que le projet n'est pas contraire aux objectifs visés à l'article </w:t>
      </w:r>
      <w:hyperlink r:id="rId7" w:history="1">
        <w:r w:rsidRPr="004950F7">
          <w:rPr>
            <w:rStyle w:val="Lienhypertexte"/>
            <w:rFonts w:asciiTheme="minorHAnsi" w:eastAsiaTheme="majorEastAsia" w:hAnsiTheme="minorHAnsi" w:cstheme="minorHAnsi"/>
          </w:rPr>
          <w:t>L. 1</w:t>
        </w:r>
        <w:r w:rsidRPr="004950F7">
          <w:rPr>
            <w:rStyle w:val="Lienhypertexte"/>
            <w:rFonts w:asciiTheme="minorHAnsi" w:eastAsiaTheme="majorEastAsia" w:hAnsiTheme="minorHAnsi" w:cstheme="minorHAnsi"/>
          </w:rPr>
          <w:t>0</w:t>
        </w:r>
        <w:r w:rsidRPr="004950F7">
          <w:rPr>
            <w:rStyle w:val="Lienhypertexte"/>
            <w:rFonts w:asciiTheme="minorHAnsi" w:eastAsiaTheme="majorEastAsia" w:hAnsiTheme="minorHAnsi" w:cstheme="minorHAnsi"/>
          </w:rPr>
          <w:t>1-2</w:t>
        </w:r>
      </w:hyperlink>
      <w:r w:rsidRPr="004950F7">
        <w:rPr>
          <w:rFonts w:asciiTheme="minorHAnsi" w:hAnsiTheme="minorHAnsi" w:cstheme="minorHAnsi"/>
        </w:rPr>
        <w:t xml:space="preserve"> et aux dispositions des chapitres I et II du titre II du livre Ier ou aux directives territoriales d'aménagement précisant leurs modalités d'application.</w:t>
      </w:r>
    </w:p>
    <w:p w:rsidR="004950F7" w:rsidRDefault="004950F7" w:rsidP="004950F7">
      <w:pPr>
        <w:pStyle w:val="NormalWeb"/>
        <w:jc w:val="both"/>
        <w:rPr>
          <w:rFonts w:asciiTheme="minorHAnsi" w:hAnsiTheme="minorHAnsi" w:cstheme="minorHAnsi"/>
          <w:b/>
        </w:rPr>
      </w:pPr>
      <w:bookmarkStart w:id="0" w:name="_GoBack"/>
      <w:bookmarkEnd w:id="0"/>
    </w:p>
    <w:p w:rsidR="004950F7" w:rsidRDefault="004950F7" w:rsidP="00306C66">
      <w:pPr>
        <w:jc w:val="center"/>
        <w:rPr>
          <w:rFonts w:asciiTheme="minorHAnsi" w:eastAsia="Times New Roman" w:hAnsiTheme="minorHAnsi" w:cstheme="minorHAnsi"/>
          <w:b/>
          <w:sz w:val="24"/>
          <w:szCs w:val="24"/>
          <w:lang w:eastAsia="fr-FR"/>
        </w:rPr>
      </w:pPr>
    </w:p>
    <w:p w:rsidR="004950F7" w:rsidRDefault="004950F7" w:rsidP="00306C66">
      <w:pPr>
        <w:jc w:val="center"/>
        <w:rPr>
          <w:rFonts w:asciiTheme="minorHAnsi" w:eastAsia="Times New Roman" w:hAnsiTheme="minorHAnsi" w:cstheme="minorHAnsi"/>
          <w:b/>
          <w:sz w:val="24"/>
          <w:szCs w:val="24"/>
          <w:lang w:eastAsia="fr-FR"/>
        </w:rPr>
      </w:pPr>
    </w:p>
    <w:p w:rsidR="004950F7" w:rsidRDefault="004950F7" w:rsidP="00306C66">
      <w:pPr>
        <w:jc w:val="center"/>
        <w:rPr>
          <w:rFonts w:asciiTheme="minorHAnsi" w:eastAsia="Times New Roman" w:hAnsiTheme="minorHAnsi" w:cstheme="minorHAnsi"/>
          <w:b/>
          <w:sz w:val="24"/>
          <w:szCs w:val="24"/>
          <w:lang w:eastAsia="fr-FR"/>
        </w:rPr>
      </w:pPr>
    </w:p>
    <w:p w:rsidR="004950F7" w:rsidRDefault="004950F7" w:rsidP="00306C66">
      <w:pPr>
        <w:jc w:val="center"/>
        <w:rPr>
          <w:rFonts w:asciiTheme="minorHAnsi" w:eastAsia="Times New Roman" w:hAnsiTheme="minorHAnsi" w:cstheme="minorHAnsi"/>
          <w:b/>
          <w:sz w:val="24"/>
          <w:szCs w:val="24"/>
          <w:lang w:eastAsia="fr-FR"/>
        </w:rPr>
      </w:pPr>
    </w:p>
    <w:p w:rsidR="004950F7" w:rsidRDefault="004950F7" w:rsidP="00306C66">
      <w:pPr>
        <w:jc w:val="center"/>
        <w:rPr>
          <w:rFonts w:asciiTheme="minorHAnsi" w:eastAsia="Times New Roman" w:hAnsiTheme="minorHAnsi" w:cstheme="minorHAnsi"/>
          <w:b/>
          <w:sz w:val="24"/>
          <w:szCs w:val="24"/>
          <w:lang w:eastAsia="fr-FR"/>
        </w:rPr>
      </w:pPr>
    </w:p>
    <w:p w:rsidR="004950F7" w:rsidRDefault="004950F7" w:rsidP="00306C66">
      <w:pPr>
        <w:jc w:val="center"/>
        <w:rPr>
          <w:rFonts w:asciiTheme="minorHAnsi" w:eastAsia="Times New Roman" w:hAnsiTheme="minorHAnsi" w:cstheme="minorHAnsi"/>
          <w:b/>
          <w:sz w:val="24"/>
          <w:szCs w:val="24"/>
          <w:lang w:eastAsia="fr-FR"/>
        </w:rPr>
      </w:pPr>
    </w:p>
    <w:p w:rsidR="00306C66" w:rsidRDefault="00306C66" w:rsidP="00306C66">
      <w:pPr>
        <w:jc w:val="center"/>
        <w:rPr>
          <w:rFonts w:asciiTheme="minorHAnsi" w:eastAsia="Times New Roman" w:hAnsiTheme="minorHAnsi" w:cstheme="minorHAnsi"/>
          <w:b/>
          <w:sz w:val="24"/>
          <w:szCs w:val="24"/>
          <w:lang w:eastAsia="fr-FR"/>
        </w:rPr>
      </w:pPr>
      <w:r>
        <w:rPr>
          <w:rFonts w:asciiTheme="minorHAnsi" w:eastAsia="Times New Roman" w:hAnsiTheme="minorHAnsi" w:cstheme="minorHAnsi"/>
          <w:b/>
          <w:sz w:val="24"/>
          <w:szCs w:val="24"/>
          <w:lang w:eastAsia="fr-FR"/>
        </w:rPr>
        <w:t>RNU – Art. R. 111-2 à 20</w:t>
      </w:r>
    </w:p>
    <w:p w:rsidR="00306C66" w:rsidRDefault="00306C66" w:rsidP="00306C66">
      <w:pPr>
        <w:rPr>
          <w:rFonts w:asciiTheme="minorHAnsi" w:eastAsia="Times New Roman" w:hAnsiTheme="minorHAnsi" w:cstheme="minorHAnsi"/>
          <w:b/>
          <w:sz w:val="24"/>
          <w:szCs w:val="24"/>
          <w:lang w:eastAsia="fr-FR"/>
        </w:rPr>
      </w:pPr>
      <w:r w:rsidRPr="00306C66">
        <w:rPr>
          <w:rFonts w:asciiTheme="minorHAnsi" w:eastAsia="Times New Roman" w:hAnsiTheme="minorHAnsi" w:cstheme="minorHAnsi"/>
          <w:b/>
          <w:sz w:val="24"/>
          <w:szCs w:val="24"/>
          <w:lang w:eastAsia="fr-FR"/>
        </w:rPr>
        <w:t>Section 1 : Localisation, implantation et desserte des constructions et aménagements</w:t>
      </w:r>
    </w:p>
    <w:p w:rsidR="00306C66" w:rsidRPr="00306C66" w:rsidRDefault="00306C66" w:rsidP="00306C66">
      <w:pPr>
        <w:rPr>
          <w:rFonts w:asciiTheme="minorHAnsi" w:eastAsia="Times New Roman" w:hAnsiTheme="minorHAnsi" w:cstheme="minorHAnsi"/>
          <w:b/>
          <w:sz w:val="24"/>
          <w:szCs w:val="24"/>
          <w:lang w:eastAsia="fr-FR"/>
        </w:rPr>
      </w:pP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R111-2 </w:t>
      </w:r>
      <w:hyperlink r:id="rId8" w:tooltip="En savoir plus sur l'article R111-2"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9"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Le projet peut être refusé ou n'être accepté que sous réserve de l'observation de prescriptions spéciales s'il est de nature à porter atteinte à la salubrité ou à la sécurité publique du fait de sa situation, de ses caractéristiques, de son importance ou de son implantation à proximité d'autres installations.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R111-3 </w:t>
      </w:r>
      <w:hyperlink r:id="rId10" w:tooltip="En savoir plus sur l'article R111-3"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11"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Le projet peut être refusé ou n'être accepté que sous réserve de l'observation de prescriptions spéciales s'il est susceptible, en raison de sa localisation, d'être exposé à des nuisances graves, dues notamment au bruit.</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R111-4 </w:t>
      </w:r>
      <w:hyperlink r:id="rId12" w:tooltip="En savoir plus sur l'article R111-4"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13"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Le projet peut être refusé ou n'être accepté que sous réserve de l'observation de prescriptions spéciales s'il est de nature, par sa localisation et ses caractéristiques, à compromettre la conservation ou la mise en valeur d'un site ou de vestiges archéologiques.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R111-5 </w:t>
      </w:r>
      <w:hyperlink r:id="rId14" w:tooltip="En savoir plus sur l'article R111-5"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15"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Le projet peut être refusé sur des terrains qui ne seraient pas desservis par des voies publiques ou privées dans des conditions répondant à son importance ou à la destination des constructions ou des aménagements envisagés, et notamment si les caractéristiques de ces voies rendent difficile la circulation ou l'utilisation des engins de lutte contre l'incendie.</w:t>
      </w: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Il peut également être refusé ou n'être accepté que sous réserve de prescriptions spéciales si les accès présentent un risque pour la sécurité des usagers des voies publiques ou pour celle des personnes utilisant ces accès. Cette sécurité doit être appréciée compte tenu, notamment, de la position des accès, de leur configuration ainsi que de la nature et de l'intensité du trafic.</w:t>
      </w: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R111-6 </w:t>
      </w:r>
      <w:hyperlink r:id="rId16" w:tooltip="En savoir plus sur l'article R111-6"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17"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Le permis ou la décision prise sur la déclaration préalable peut imposer la réalisation de voies privées ou de tous autres aménagements particuliers nécessaires au respect des conditions de sécurité mentionnées au deuxième alinéa de l'article </w:t>
      </w:r>
      <w:hyperlink r:id="rId18" w:history="1">
        <w:r w:rsidRPr="00306C66">
          <w:rPr>
            <w:rFonts w:asciiTheme="minorHAnsi" w:eastAsia="Times New Roman" w:hAnsiTheme="minorHAnsi" w:cstheme="minorHAnsi"/>
            <w:color w:val="0000FF"/>
            <w:sz w:val="24"/>
            <w:szCs w:val="24"/>
            <w:u w:val="single"/>
            <w:lang w:eastAsia="fr-FR"/>
          </w:rPr>
          <w:t>R. 111-5</w:t>
        </w:r>
      </w:hyperlink>
      <w:r w:rsidRPr="00306C66">
        <w:rPr>
          <w:rFonts w:asciiTheme="minorHAnsi" w:eastAsia="Times New Roman" w:hAnsiTheme="minorHAnsi" w:cstheme="minorHAnsi"/>
          <w:sz w:val="24"/>
          <w:szCs w:val="24"/>
          <w:lang w:eastAsia="fr-FR"/>
        </w:rPr>
        <w:t xml:space="preserve">. </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Le nombre des accès sur les voies publiques peut être limité dans l'intérêt de la sécurité. En particulier, lorsque le terrain est desservi par plusieurs voies, le projet peut n'être autorisé que sous réserve que l'accès soit établi sur la voie où la gêne pour la circulation sera la moindre.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R111-7 </w:t>
      </w:r>
      <w:hyperlink r:id="rId19" w:tooltip="En savoir plus sur l'article R111-7"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20"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Le permis ou la décision prise sur la déclaration préalable peut imposer le maintien ou la création d'espaces verts correspondant à l'importance du projet. </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Lorsque le projet prévoit des bâtiments à usage d'habitation, l'autorité compétente mentionnée aux articles </w:t>
      </w:r>
      <w:hyperlink r:id="rId21" w:history="1">
        <w:r w:rsidRPr="00306C66">
          <w:rPr>
            <w:rFonts w:asciiTheme="minorHAnsi" w:eastAsia="Times New Roman" w:hAnsiTheme="minorHAnsi" w:cstheme="minorHAnsi"/>
            <w:color w:val="0000FF"/>
            <w:sz w:val="24"/>
            <w:szCs w:val="24"/>
            <w:u w:val="single"/>
            <w:lang w:eastAsia="fr-FR"/>
          </w:rPr>
          <w:t>L. 422-1 à L. 422-3</w:t>
        </w:r>
      </w:hyperlink>
      <w:r w:rsidRPr="00306C66">
        <w:rPr>
          <w:rFonts w:asciiTheme="minorHAnsi" w:eastAsia="Times New Roman" w:hAnsiTheme="minorHAnsi" w:cstheme="minorHAnsi"/>
          <w:sz w:val="24"/>
          <w:szCs w:val="24"/>
          <w:lang w:eastAsia="fr-FR"/>
        </w:rPr>
        <w:t xml:space="preserve"> peut exiger la réalisation, par le constructeur, d'aires de jeux et de loisirs situées à proximité de ces logements et correspondant à leur importance.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R111-8 </w:t>
      </w:r>
      <w:hyperlink r:id="rId22" w:tooltip="En savoir plus sur l'article R111-8"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23"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L'alimentation en eau potable et l'assainissement des eaux domestiques usées, la collecte et l'écoulement des eaux pluviales et de ruissellement ainsi que l'évacuation, l'épuration et le rejet des eaux résiduaires industrielles doivent être assurés dans des conditions conformes aux règlements en vigueur.</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R111-9 </w:t>
      </w:r>
      <w:hyperlink r:id="rId24" w:tooltip="En savoir plus sur l'article R111-9"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25"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Lorsque le projet prévoit des bâtiments à usage d'habitation, ceux-ci doivent être desservis par un réseau de distribution d'eau potable sous pression raccordé aux réseaux publics.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R111-10 </w:t>
      </w:r>
      <w:hyperlink r:id="rId26" w:tooltip="En savoir plus sur l'article R111-10"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27"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En l'absence de réseau public de distribution d'eau potable et sous réserve que l'hygiène </w:t>
      </w:r>
      <w:r w:rsidRPr="00306C66">
        <w:rPr>
          <w:rFonts w:asciiTheme="minorHAnsi" w:eastAsia="Times New Roman" w:hAnsiTheme="minorHAnsi" w:cstheme="minorHAnsi"/>
          <w:sz w:val="24"/>
          <w:szCs w:val="24"/>
          <w:lang w:eastAsia="fr-FR"/>
        </w:rPr>
        <w:lastRenderedPageBreak/>
        <w:t>générale et la protection sanitaire soient assurées, l'alimentation est assurée par un seul point d'eau ou, en cas d'impossibilité, par le plus petit nombre possible de points d'eau.</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En l'absence de système de collecte des eaux usées, l'assainissement non collectif doit respecter les prescriptions techniques fixées en application de l'</w:t>
      </w:r>
      <w:hyperlink r:id="rId28" w:history="1">
        <w:r w:rsidRPr="00306C66">
          <w:rPr>
            <w:rFonts w:asciiTheme="minorHAnsi" w:eastAsia="Times New Roman" w:hAnsiTheme="minorHAnsi" w:cstheme="minorHAnsi"/>
            <w:color w:val="0000FF"/>
            <w:sz w:val="24"/>
            <w:szCs w:val="24"/>
            <w:u w:val="single"/>
            <w:lang w:eastAsia="fr-FR"/>
          </w:rPr>
          <w:t>article R. 2224-17 du code général des collectivités territoriales</w:t>
        </w:r>
      </w:hyperlink>
      <w:r w:rsidRPr="00306C66">
        <w:rPr>
          <w:rFonts w:asciiTheme="minorHAnsi" w:eastAsia="Times New Roman" w:hAnsiTheme="minorHAnsi" w:cstheme="minorHAnsi"/>
          <w:sz w:val="24"/>
          <w:szCs w:val="24"/>
          <w:lang w:eastAsia="fr-FR"/>
        </w:rPr>
        <w:t>.</w:t>
      </w:r>
      <w:r>
        <w:rPr>
          <w:rFonts w:asciiTheme="minorHAnsi" w:eastAsia="Times New Roman" w:hAnsiTheme="minorHAnsi" w:cstheme="minorHAnsi"/>
          <w:sz w:val="24"/>
          <w:szCs w:val="24"/>
          <w:lang w:eastAsia="fr-FR"/>
        </w:rPr>
        <w:t xml:space="preserve"> </w:t>
      </w:r>
      <w:r w:rsidRPr="00306C66">
        <w:rPr>
          <w:rFonts w:asciiTheme="minorHAnsi" w:eastAsia="Times New Roman" w:hAnsiTheme="minorHAnsi" w:cstheme="minorHAnsi"/>
          <w:sz w:val="24"/>
          <w:szCs w:val="24"/>
          <w:lang w:eastAsia="fr-FR"/>
        </w:rPr>
        <w:t>En outre, les installations collectives sont établies de manière à pouvoir se raccorder ultérieurement aux réseaux publics.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R111-11 </w:t>
      </w:r>
      <w:hyperlink r:id="rId29" w:tooltip="En savoir plus sur l'article R111-11"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30"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Des dérogations à l'obligation de réaliser des installations collectives de distribution d'eau potable peuvent être accordées à titre exceptionnel, lorsque la grande superficie des parcelles ou la faible densité de construction ainsi que la facilité d'alimentation individuelle font apparaître celle-ci comme nettement plus économique, mais à la condition que la potabilité de l'eau et sa protection contre tout risque de pollution puissent être considérées comme assurées.</w:t>
      </w:r>
      <w:r w:rsidRPr="00306C66">
        <w:rPr>
          <w:rFonts w:asciiTheme="minorHAnsi" w:eastAsia="Times New Roman" w:hAnsiTheme="minorHAnsi" w:cstheme="minorHAnsi"/>
          <w:sz w:val="24"/>
          <w:szCs w:val="24"/>
          <w:lang w:eastAsia="fr-FR"/>
        </w:rPr>
        <w:br/>
        <w:t>Des dérogations à l'obligation de réaliser des installations collectives peuvent être accordées pour l'assainissement lorsque, en raison de la grande superficie des parcelles ou de la faible densité de construction, ainsi que de la nature géologique du sol et du régime hydraulique des eaux superficielles et souterraines, l'assainissement individuel ne peut présenter aucun inconvénient d'ordre hygiénique.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R111-12 </w:t>
      </w:r>
      <w:hyperlink r:id="rId31" w:tooltip="En savoir plus sur l'article R111-12"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32"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Les eaux résiduaires industrielles et autres eaux usées de toute nature qui doivent être épurées ne doivent pas être mélangées aux eaux pluviales et aux eaux résiduaires industrielles qui peuvent être rejetées en milieu naturel sans traitement. Cependant, ce mélange est autorisé si la dilution qui en résulte n'entraîne aucune difficulté d'épuration.</w:t>
      </w: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L'évacuation des eaux résiduaires industrielles dans le système de collecte des eaux usées, si elle est autorisée, peut être subordonnée notamment à un prétraitement approprié.</w:t>
      </w:r>
      <w:r>
        <w:rPr>
          <w:rFonts w:asciiTheme="minorHAnsi" w:eastAsia="Times New Roman" w:hAnsiTheme="minorHAnsi" w:cstheme="minorHAnsi"/>
          <w:sz w:val="24"/>
          <w:szCs w:val="24"/>
          <w:lang w:eastAsia="fr-FR"/>
        </w:rPr>
        <w:t xml:space="preserve"> </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Lorsque le projet porte sur la création d'une zone industrielle ou la construction d'établissements industriels groupés, l'autorité compétente peut imposer la desserte par un réseau recueillant les eaux résiduaires industrielles les conduisant, éventuellement après un prétraitement approprié, soit au système de collecte des eaux usées, si ce mode d'évacuation peut être autorisé compte tenu notamment des prétraitements, soit à un dispositif commun d'épuration et de rejet en milieu naturel.</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R111-13 </w:t>
      </w:r>
      <w:hyperlink r:id="rId33" w:tooltip="En savoir plus sur l'article R111-13"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34"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Le projet peut être refusé si, par sa situation ou son importance, il impose soit la réalisation </w:t>
      </w:r>
      <w:r w:rsidRPr="00306C66">
        <w:rPr>
          <w:rFonts w:asciiTheme="minorHAnsi" w:eastAsia="Times New Roman" w:hAnsiTheme="minorHAnsi" w:cstheme="minorHAnsi"/>
          <w:sz w:val="24"/>
          <w:szCs w:val="24"/>
          <w:lang w:eastAsia="fr-FR"/>
        </w:rPr>
        <w:lastRenderedPageBreak/>
        <w:t>par la commune d'équipements publics nouveaux hors de proportion avec ses ressources actuelles, soit un surcroît important des dépenses de fonctionnement des services publics.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R111-14 </w:t>
      </w:r>
      <w:hyperlink r:id="rId35" w:tooltip="En savoir plus sur l'article R111-14"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36"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En dehors des parties urbanisées des communes, le projet peut être refusé ou n'être accepté que sous réserve de l'observation de prescriptions spéciales s'il est de nature, par sa localisation ou sa destination : </w:t>
      </w: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1° A favoriser une urbanisation dispersée incompatible avec la vocation des espaces naturels environnants, en particulier lorsque ceux-ci sont peu équipés ; </w:t>
      </w:r>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2° A compromettre les activités agricoles ou forestières, notamment en raison de la valeur agronomique des sols, des structures agricoles, de l'existence de terrains faisant l'objet d'une délimitation au titre d'une appellation d'origine contrôlée ou d'une indication géographique protégée ou comportant des équipements spéciaux importants, ainsi que de périmètres d'aménagements fonciers et hydrauliques ; </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3° A compromettre la mise en valeur des substances mentionnées à l'article </w:t>
      </w:r>
      <w:hyperlink r:id="rId37" w:history="1">
        <w:r w:rsidRPr="00306C66">
          <w:rPr>
            <w:rFonts w:asciiTheme="minorHAnsi" w:eastAsia="Times New Roman" w:hAnsiTheme="minorHAnsi" w:cstheme="minorHAnsi"/>
            <w:color w:val="0000FF"/>
            <w:sz w:val="24"/>
            <w:szCs w:val="24"/>
            <w:u w:val="single"/>
            <w:lang w:eastAsia="fr-FR"/>
          </w:rPr>
          <w:t>L. 111-1</w:t>
        </w:r>
      </w:hyperlink>
      <w:r w:rsidRPr="00306C66">
        <w:rPr>
          <w:rFonts w:asciiTheme="minorHAnsi" w:eastAsia="Times New Roman" w:hAnsiTheme="minorHAnsi" w:cstheme="minorHAnsi"/>
          <w:sz w:val="24"/>
          <w:szCs w:val="24"/>
          <w:lang w:eastAsia="fr-FR"/>
        </w:rPr>
        <w:t xml:space="preserve"> du code minier ou des matériaux de carrières inclus dans les zones définies à l'article </w:t>
      </w:r>
      <w:hyperlink r:id="rId38" w:history="1">
        <w:r w:rsidRPr="00306C66">
          <w:rPr>
            <w:rFonts w:asciiTheme="minorHAnsi" w:eastAsia="Times New Roman" w:hAnsiTheme="minorHAnsi" w:cstheme="minorHAnsi"/>
            <w:color w:val="0000FF"/>
            <w:sz w:val="24"/>
            <w:szCs w:val="24"/>
            <w:u w:val="single"/>
            <w:lang w:eastAsia="fr-FR"/>
          </w:rPr>
          <w:t xml:space="preserve">L. 321-1 </w:t>
        </w:r>
      </w:hyperlink>
      <w:r w:rsidRPr="00306C66">
        <w:rPr>
          <w:rFonts w:asciiTheme="minorHAnsi" w:eastAsia="Times New Roman" w:hAnsiTheme="minorHAnsi" w:cstheme="minorHAnsi"/>
          <w:sz w:val="24"/>
          <w:szCs w:val="24"/>
          <w:lang w:eastAsia="fr-FR"/>
        </w:rPr>
        <w:t>du même code.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R111-15 </w:t>
      </w:r>
      <w:hyperlink r:id="rId39" w:tooltip="En savoir plus sur l'article R111-15"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40"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Une distance d'au moins trois mètres peut être imposée entre deux bâtiments non contigus situés sur un terrain appartenant au même propriétaire.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R111-16 </w:t>
      </w:r>
      <w:hyperlink r:id="rId41" w:tooltip="En savoir plus sur l'article R111-16"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42"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Lorsque le bâtiment est édifié en bordure d'une voie publique, la distance comptée horizontalement de tout point de l'immeuble au point le plus proche de l'alignement opposé doit être au moins égale à la différence d'altitude entre ces deux points. Lorsqu'il existe une obligation de construire au retrait de l'alignement, la limite de ce retrait se substitue à l'alignement. Il en sera de même pour les constructions élevées en bordure des voies privées, la largeur effective de la voie privée étant assimilée à la largeur réglementaire des voies publiques.</w:t>
      </w:r>
      <w:r w:rsidRPr="00306C66">
        <w:rPr>
          <w:rFonts w:asciiTheme="minorHAnsi" w:eastAsia="Times New Roman" w:hAnsiTheme="minorHAnsi" w:cstheme="minorHAnsi"/>
          <w:sz w:val="24"/>
          <w:szCs w:val="24"/>
          <w:lang w:eastAsia="fr-FR"/>
        </w:rPr>
        <w:br/>
        <w:t>Toutefois une implantation de la construction à l'alignement ou dans le prolongement des constructions existantes peut être imposée.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R111-17 </w:t>
      </w:r>
      <w:hyperlink r:id="rId43" w:tooltip="En savoir plus sur l'article R111-17"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44"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lastRenderedPageBreak/>
        <w:br/>
        <w:t>A moins que le bâtiment à construire ne jouxte la limite parcellaire, la distance comptée horizontalement de tout point de ce bâtiment au point de la limite parcellaire qui en est le plus rapproché doit être au moins égale à la moitié de la différence d'altitude entre ces deux points, sans pouvoir être inférieure à trois mètres.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R111-18 </w:t>
      </w:r>
      <w:hyperlink r:id="rId45" w:tooltip="En savoir plus sur l'article R111-18"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46"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Lorsque, par son gabarit ou son implantation, un immeuble bâti existant n'est pas conforme aux prescriptions de l'article </w:t>
      </w:r>
      <w:hyperlink r:id="rId47" w:history="1">
        <w:r w:rsidRPr="00306C66">
          <w:rPr>
            <w:rFonts w:asciiTheme="minorHAnsi" w:eastAsia="Times New Roman" w:hAnsiTheme="minorHAnsi" w:cstheme="minorHAnsi"/>
            <w:color w:val="0000FF"/>
            <w:sz w:val="24"/>
            <w:szCs w:val="24"/>
            <w:u w:val="single"/>
            <w:lang w:eastAsia="fr-FR"/>
          </w:rPr>
          <w:t>R. 111-17</w:t>
        </w:r>
      </w:hyperlink>
      <w:r w:rsidRPr="00306C66">
        <w:rPr>
          <w:rFonts w:asciiTheme="minorHAnsi" w:eastAsia="Times New Roman" w:hAnsiTheme="minorHAnsi" w:cstheme="minorHAnsi"/>
          <w:sz w:val="24"/>
          <w:szCs w:val="24"/>
          <w:lang w:eastAsia="fr-FR"/>
        </w:rPr>
        <w:t>, le permis de construire ne peut être accordé que pour des travaux qui ont pour objet d'améliorer la conformité de l'implantation ou du gabarit de cet immeuble avec ces prescriptions, ou pour des travaux qui sont sans effet sur l'implantation ou le gabarit de l'immeuble.</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R111-19 </w:t>
      </w:r>
      <w:hyperlink r:id="rId48" w:tooltip="En savoir plus sur l'article R111-19"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49"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Des dérogations aux règles édictées aux articles </w:t>
      </w:r>
      <w:hyperlink r:id="rId50" w:history="1">
        <w:r w:rsidRPr="00306C66">
          <w:rPr>
            <w:rFonts w:asciiTheme="minorHAnsi" w:eastAsia="Times New Roman" w:hAnsiTheme="minorHAnsi" w:cstheme="minorHAnsi"/>
            <w:color w:val="0000FF"/>
            <w:sz w:val="24"/>
            <w:szCs w:val="24"/>
            <w:u w:val="single"/>
            <w:lang w:eastAsia="fr-FR"/>
          </w:rPr>
          <w:t xml:space="preserve">R. 111-15 à R. 111-18 </w:t>
        </w:r>
      </w:hyperlink>
      <w:r w:rsidRPr="00306C66">
        <w:rPr>
          <w:rFonts w:asciiTheme="minorHAnsi" w:eastAsia="Times New Roman" w:hAnsiTheme="minorHAnsi" w:cstheme="minorHAnsi"/>
          <w:sz w:val="24"/>
          <w:szCs w:val="24"/>
          <w:lang w:eastAsia="fr-FR"/>
        </w:rPr>
        <w:t xml:space="preserve">peuvent être accordées par décision motivée de l'autorité compétente mentionnée aux articles </w:t>
      </w:r>
      <w:hyperlink r:id="rId51" w:history="1">
        <w:r w:rsidRPr="00306C66">
          <w:rPr>
            <w:rFonts w:asciiTheme="minorHAnsi" w:eastAsia="Times New Roman" w:hAnsiTheme="minorHAnsi" w:cstheme="minorHAnsi"/>
            <w:color w:val="0000FF"/>
            <w:sz w:val="24"/>
            <w:szCs w:val="24"/>
            <w:u w:val="single"/>
            <w:lang w:eastAsia="fr-FR"/>
          </w:rPr>
          <w:t>L. 422-1 à L. 422-3</w:t>
        </w:r>
      </w:hyperlink>
      <w:r w:rsidRPr="00306C66">
        <w:rPr>
          <w:rFonts w:asciiTheme="minorHAnsi" w:eastAsia="Times New Roman" w:hAnsiTheme="minorHAnsi" w:cstheme="minorHAnsi"/>
          <w:sz w:val="24"/>
          <w:szCs w:val="24"/>
          <w:lang w:eastAsia="fr-FR"/>
        </w:rPr>
        <w:t xml:space="preserve">, après avis du maire de la commune lorsque celui-ci n'est pas l'autorité compétente. </w:t>
      </w:r>
    </w:p>
    <w:p w:rsidR="00306C66" w:rsidRP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En outre, le préfet peut, après avis du maire, apporter des aménagements aux règles prescrites aux articles R. 111-15 à R. 111-18, sur les territoires où l'établissement de plans locaux d'urbanisme a été prescrit, mais où ces plans n'ont pas encore été approuvés.</w:t>
      </w:r>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Article R111-20 </w:t>
      </w:r>
      <w:hyperlink r:id="rId52" w:tooltip="En savoir plus sur l'article R111-20" w:history="1">
        <w:r w:rsidRPr="00306C66">
          <w:rPr>
            <w:rFonts w:asciiTheme="minorHAnsi" w:eastAsia="Times New Roman" w:hAnsiTheme="minorHAnsi" w:cstheme="minorHAnsi"/>
            <w:color w:val="0000FF"/>
            <w:sz w:val="24"/>
            <w:szCs w:val="24"/>
            <w:u w:val="single"/>
            <w:lang w:eastAsia="fr-FR"/>
          </w:rPr>
          <w:t>En savoir plus sur cet article...</w:t>
        </w:r>
      </w:hyperlink>
    </w:p>
    <w:p w:rsidR="00306C66" w:rsidRPr="00306C66" w:rsidRDefault="00306C66" w:rsidP="00306C66">
      <w:pPr>
        <w:jc w:val="center"/>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t xml:space="preserve">Créé par </w:t>
      </w:r>
      <w:hyperlink r:id="rId53" w:history="1">
        <w:r w:rsidRPr="00306C66">
          <w:rPr>
            <w:rFonts w:asciiTheme="minorHAnsi" w:eastAsia="Times New Roman" w:hAnsiTheme="minorHAnsi" w:cstheme="minorHAnsi"/>
            <w:color w:val="0000FF"/>
            <w:sz w:val="24"/>
            <w:szCs w:val="24"/>
            <w:u w:val="single"/>
            <w:lang w:eastAsia="fr-FR"/>
          </w:rPr>
          <w:t>Décret n°2015-1783 du 28 décembre 2015 - art.</w:t>
        </w:r>
      </w:hyperlink>
    </w:p>
    <w:p w:rsidR="00306C66" w:rsidRDefault="00306C66" w:rsidP="00306C66">
      <w:pPr>
        <w:spacing w:before="100" w:beforeAutospacing="1" w:after="100" w:afterAutospacing="1"/>
        <w:rPr>
          <w:rFonts w:asciiTheme="minorHAnsi" w:eastAsia="Times New Roman" w:hAnsiTheme="minorHAnsi" w:cstheme="minorHAnsi"/>
          <w:sz w:val="24"/>
          <w:szCs w:val="24"/>
          <w:lang w:eastAsia="fr-FR"/>
        </w:rPr>
      </w:pPr>
      <w:r w:rsidRPr="00306C66">
        <w:rPr>
          <w:rFonts w:asciiTheme="minorHAnsi" w:eastAsia="Times New Roman" w:hAnsiTheme="minorHAnsi" w:cstheme="minorHAnsi"/>
          <w:sz w:val="24"/>
          <w:szCs w:val="24"/>
          <w:lang w:eastAsia="fr-FR"/>
        </w:rPr>
        <w:br/>
        <w:t xml:space="preserve">Les avis de la commission départementale de préservation des espaces naturels, agricoles et forestiers prévus à l'article </w:t>
      </w:r>
      <w:hyperlink r:id="rId54" w:history="1">
        <w:r w:rsidRPr="00306C66">
          <w:rPr>
            <w:rFonts w:asciiTheme="minorHAnsi" w:eastAsia="Times New Roman" w:hAnsiTheme="minorHAnsi" w:cstheme="minorHAnsi"/>
            <w:color w:val="0000FF"/>
            <w:sz w:val="24"/>
            <w:szCs w:val="24"/>
            <w:u w:val="single"/>
            <w:lang w:eastAsia="fr-FR"/>
          </w:rPr>
          <w:t>L. 111-5</w:t>
        </w:r>
      </w:hyperlink>
      <w:r w:rsidRPr="00306C66">
        <w:rPr>
          <w:rFonts w:asciiTheme="minorHAnsi" w:eastAsia="Times New Roman" w:hAnsiTheme="minorHAnsi" w:cstheme="minorHAnsi"/>
          <w:sz w:val="24"/>
          <w:szCs w:val="24"/>
          <w:lang w:eastAsia="fr-FR"/>
        </w:rPr>
        <w:t xml:space="preserve"> sont réputés favorables s'il ne sont pas intervenus dans un délai d'un mois à compter de sa saisine par le préfet de département.</w:t>
      </w:r>
    </w:p>
    <w:p w:rsidR="002D510F" w:rsidRDefault="002D510F" w:rsidP="00306C66">
      <w:pPr>
        <w:spacing w:before="100" w:beforeAutospacing="1" w:after="100" w:afterAutospacing="1"/>
        <w:rPr>
          <w:rFonts w:asciiTheme="minorHAnsi" w:eastAsia="Times New Roman" w:hAnsiTheme="minorHAnsi" w:cstheme="minorHAnsi"/>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8038EA" w:rsidRDefault="008038EA" w:rsidP="002D510F">
      <w:pPr>
        <w:jc w:val="left"/>
        <w:rPr>
          <w:rFonts w:asciiTheme="minorHAnsi" w:eastAsia="Times New Roman" w:hAnsiTheme="minorHAnsi" w:cstheme="minorHAnsi"/>
          <w:b/>
          <w:sz w:val="24"/>
          <w:szCs w:val="24"/>
          <w:lang w:eastAsia="fr-FR"/>
        </w:rPr>
      </w:pPr>
    </w:p>
    <w:p w:rsidR="002D510F" w:rsidRPr="002D510F" w:rsidRDefault="002D510F" w:rsidP="002D510F">
      <w:pPr>
        <w:jc w:val="left"/>
        <w:rPr>
          <w:rFonts w:asciiTheme="minorHAnsi" w:eastAsia="Times New Roman" w:hAnsiTheme="minorHAnsi" w:cstheme="minorHAnsi"/>
          <w:b/>
          <w:sz w:val="24"/>
          <w:szCs w:val="24"/>
          <w:lang w:eastAsia="fr-FR"/>
        </w:rPr>
      </w:pPr>
      <w:r w:rsidRPr="002D510F">
        <w:rPr>
          <w:rFonts w:asciiTheme="minorHAnsi" w:eastAsia="Times New Roman" w:hAnsiTheme="minorHAnsi" w:cstheme="minorHAnsi"/>
          <w:b/>
          <w:sz w:val="24"/>
          <w:szCs w:val="24"/>
          <w:lang w:eastAsia="fr-FR"/>
        </w:rPr>
        <w:t>Section 2 : Densité et reconstruction des constructions</w:t>
      </w:r>
    </w:p>
    <w:p w:rsidR="002D510F" w:rsidRPr="002D510F" w:rsidRDefault="002D510F" w:rsidP="002D510F">
      <w:pPr>
        <w:jc w:val="center"/>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 xml:space="preserve">Article R111-21 </w:t>
      </w:r>
      <w:hyperlink r:id="rId55" w:tooltip="En savoir plus sur l'article R111-21" w:history="1">
        <w:r w:rsidRPr="002D510F">
          <w:rPr>
            <w:rFonts w:asciiTheme="minorHAnsi" w:eastAsia="Times New Roman" w:hAnsiTheme="minorHAnsi" w:cstheme="minorHAnsi"/>
            <w:color w:val="0000FF"/>
            <w:sz w:val="24"/>
            <w:szCs w:val="24"/>
            <w:u w:val="single"/>
            <w:lang w:eastAsia="fr-FR"/>
          </w:rPr>
          <w:t>En savoir plus sur cet article...</w:t>
        </w:r>
      </w:hyperlink>
    </w:p>
    <w:p w:rsidR="002D510F" w:rsidRPr="002D510F" w:rsidRDefault="002D510F" w:rsidP="002D510F">
      <w:pPr>
        <w:jc w:val="center"/>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 xml:space="preserve">Créé par </w:t>
      </w:r>
      <w:hyperlink r:id="rId56" w:history="1">
        <w:r w:rsidRPr="002D510F">
          <w:rPr>
            <w:rFonts w:asciiTheme="minorHAnsi" w:eastAsia="Times New Roman" w:hAnsiTheme="minorHAnsi" w:cstheme="minorHAnsi"/>
            <w:color w:val="0000FF"/>
            <w:sz w:val="24"/>
            <w:szCs w:val="24"/>
            <w:u w:val="single"/>
            <w:lang w:eastAsia="fr-FR"/>
          </w:rPr>
          <w:t>Décret n°2015-1783 du 28 décembre 2015 - art.</w:t>
        </w:r>
      </w:hyperlink>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br/>
        <w:t>La densité de construction est définie par le rapport entre la surface de plancher de cette construction et la surface de terrain sur laquelle elle est ou doit être implantée.</w:t>
      </w:r>
    </w:p>
    <w:p w:rsidR="002D510F" w:rsidRP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 xml:space="preserve">La superficie des terrains cédés gratuitement en application de l'article </w:t>
      </w:r>
      <w:hyperlink r:id="rId57" w:history="1">
        <w:r w:rsidRPr="002D510F">
          <w:rPr>
            <w:rFonts w:asciiTheme="minorHAnsi" w:eastAsia="Times New Roman" w:hAnsiTheme="minorHAnsi" w:cstheme="minorHAnsi"/>
            <w:color w:val="0000FF"/>
            <w:sz w:val="24"/>
            <w:szCs w:val="24"/>
            <w:u w:val="single"/>
            <w:lang w:eastAsia="fr-FR"/>
          </w:rPr>
          <w:t>R. 332-16</w:t>
        </w:r>
      </w:hyperlink>
      <w:r w:rsidRPr="002D510F">
        <w:rPr>
          <w:rFonts w:asciiTheme="minorHAnsi" w:eastAsia="Times New Roman" w:hAnsiTheme="minorHAnsi" w:cstheme="minorHAnsi"/>
          <w:sz w:val="24"/>
          <w:szCs w:val="24"/>
          <w:lang w:eastAsia="fr-FR"/>
        </w:rPr>
        <w:t xml:space="preserve"> est prise en compte pour la définition de la densité de construction.</w:t>
      </w:r>
    </w:p>
    <w:p w:rsidR="002D510F" w:rsidRDefault="002D510F" w:rsidP="002D510F">
      <w:pPr>
        <w:jc w:val="left"/>
        <w:rPr>
          <w:rFonts w:asciiTheme="minorHAnsi" w:eastAsia="Times New Roman" w:hAnsiTheme="minorHAnsi" w:cstheme="minorHAnsi"/>
          <w:sz w:val="24"/>
          <w:szCs w:val="24"/>
          <w:lang w:eastAsia="fr-FR"/>
        </w:rPr>
      </w:pPr>
    </w:p>
    <w:p w:rsidR="002D510F" w:rsidRDefault="002D510F" w:rsidP="002D510F">
      <w:pPr>
        <w:jc w:val="left"/>
        <w:rPr>
          <w:rFonts w:asciiTheme="minorHAnsi" w:eastAsia="Times New Roman" w:hAnsiTheme="minorHAnsi" w:cstheme="minorHAnsi"/>
          <w:sz w:val="24"/>
          <w:szCs w:val="24"/>
          <w:lang w:eastAsia="fr-FR"/>
        </w:rPr>
      </w:pPr>
    </w:p>
    <w:p w:rsidR="002D510F" w:rsidRPr="002D510F" w:rsidRDefault="002D510F" w:rsidP="002D510F">
      <w:pPr>
        <w:jc w:val="center"/>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 xml:space="preserve">Article R111-22 </w:t>
      </w:r>
      <w:hyperlink r:id="rId58" w:tooltip="En savoir plus sur l'article R111-22" w:history="1">
        <w:r w:rsidRPr="002D510F">
          <w:rPr>
            <w:rFonts w:asciiTheme="minorHAnsi" w:eastAsia="Times New Roman" w:hAnsiTheme="minorHAnsi" w:cstheme="minorHAnsi"/>
            <w:color w:val="0000FF"/>
            <w:sz w:val="24"/>
            <w:szCs w:val="24"/>
            <w:u w:val="single"/>
            <w:lang w:eastAsia="fr-FR"/>
          </w:rPr>
          <w:t>En savoir plus sur cet article...</w:t>
        </w:r>
      </w:hyperlink>
    </w:p>
    <w:p w:rsidR="002D510F" w:rsidRPr="002D510F" w:rsidRDefault="002D510F" w:rsidP="002D510F">
      <w:pPr>
        <w:jc w:val="center"/>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 xml:space="preserve">Créé par </w:t>
      </w:r>
      <w:hyperlink r:id="rId59" w:history="1">
        <w:r w:rsidRPr="002D510F">
          <w:rPr>
            <w:rFonts w:asciiTheme="minorHAnsi" w:eastAsia="Times New Roman" w:hAnsiTheme="minorHAnsi" w:cstheme="minorHAnsi"/>
            <w:color w:val="0000FF"/>
            <w:sz w:val="24"/>
            <w:szCs w:val="24"/>
            <w:u w:val="single"/>
            <w:lang w:eastAsia="fr-FR"/>
          </w:rPr>
          <w:t>Décret n°2015-1783 du 28 décembre 2015 - art.</w:t>
        </w:r>
      </w:hyperlink>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br/>
        <w:t>La surface de plancher de la construction est égale à la somme des surfaces de plancher de chaque niveau clos et couvert, calculée à partir du nu intérieur des façades après déduction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1° Des surfaces correspondant à l'épaisseur des murs entourant les embrasures des portes et fenêtres donnant sur l'extérieur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2° Des vides et des trémies afférentes aux escaliers et ascenseurs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3° Des surfaces de plancher d'une hauteur sous plafond inférieure ou égale à 1,80 mètre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4° Des surfaces de plancher aménagées en vue du stationnement des véhicules motorisés ou non, y compris les rampes d'accès et les aires de manœuvres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5° Des surfaces de plancher des combles non aménageables pour l'habitation ou pour des activités à caractère professionnel, artisanal, industriel ou commercial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6° Des surfaces de plancher des locaux techniques nécessaires au fonctionnement d'un groupe de bâtiments ou d'un immeuble autre qu'une maison individuelle au sens de l'</w:t>
      </w:r>
      <w:hyperlink r:id="rId60" w:history="1">
        <w:r w:rsidRPr="002D510F">
          <w:rPr>
            <w:rFonts w:asciiTheme="minorHAnsi" w:eastAsia="Times New Roman" w:hAnsiTheme="minorHAnsi" w:cstheme="minorHAnsi"/>
            <w:color w:val="0000FF"/>
            <w:sz w:val="24"/>
            <w:szCs w:val="24"/>
            <w:u w:val="single"/>
            <w:lang w:eastAsia="fr-FR"/>
          </w:rPr>
          <w:t>article L. 231-1 du code de la construction et de l'habitation</w:t>
        </w:r>
      </w:hyperlink>
      <w:r w:rsidRPr="002D510F">
        <w:rPr>
          <w:rFonts w:asciiTheme="minorHAnsi" w:eastAsia="Times New Roman" w:hAnsiTheme="minorHAnsi" w:cstheme="minorHAnsi"/>
          <w:sz w:val="24"/>
          <w:szCs w:val="24"/>
          <w:lang w:eastAsia="fr-FR"/>
        </w:rPr>
        <w:t>, y compris les locaux de stockage des déchets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7° Des surfaces de plancher des caves ou des celliers, annexes à des logements, dès lors que ces locaux sont desservis uniquement par une partie commune ;</w:t>
      </w:r>
    </w:p>
    <w:p w:rsidR="002D510F" w:rsidRDefault="002D510F" w:rsidP="002D510F">
      <w:pPr>
        <w:spacing w:before="100" w:beforeAutospacing="1" w:after="100" w:afterAutospacing="1"/>
        <w:rPr>
          <w:rFonts w:asciiTheme="minorHAnsi" w:eastAsia="Times New Roman" w:hAnsiTheme="minorHAnsi" w:cstheme="minorHAnsi"/>
          <w:sz w:val="24"/>
          <w:szCs w:val="24"/>
          <w:lang w:eastAsia="fr-FR"/>
        </w:rPr>
      </w:pPr>
      <w:r w:rsidRPr="002D510F">
        <w:rPr>
          <w:rFonts w:asciiTheme="minorHAnsi" w:eastAsia="Times New Roman" w:hAnsiTheme="minorHAnsi" w:cstheme="minorHAnsi"/>
          <w:sz w:val="24"/>
          <w:szCs w:val="24"/>
          <w:lang w:eastAsia="fr-FR"/>
        </w:rPr>
        <w:t>8° D'une surface égale à 10 % des surfaces de plancher affectées à l'habitation telles qu'elles résultent le cas échéant de l'application des alinéas précédents, dès lors que les logements sont desservis par des parties communes intérieures.</w:t>
      </w:r>
    </w:p>
    <w:p w:rsidR="008038EA" w:rsidRDefault="008038EA" w:rsidP="002D510F">
      <w:pPr>
        <w:spacing w:before="100" w:beforeAutospacing="1" w:after="100" w:afterAutospacing="1"/>
        <w:rPr>
          <w:rFonts w:asciiTheme="minorHAnsi" w:eastAsia="Times New Roman" w:hAnsiTheme="minorHAnsi" w:cstheme="minorHAnsi"/>
          <w:sz w:val="24"/>
          <w:szCs w:val="24"/>
          <w:lang w:eastAsia="fr-FR"/>
        </w:rPr>
      </w:pPr>
    </w:p>
    <w:p w:rsidR="008038EA" w:rsidRPr="008038EA" w:rsidRDefault="008038EA" w:rsidP="008038EA">
      <w:pPr>
        <w:spacing w:before="100" w:beforeAutospacing="1" w:after="100" w:afterAutospacing="1"/>
        <w:rPr>
          <w:rFonts w:asciiTheme="minorHAnsi" w:eastAsia="Times New Roman" w:hAnsiTheme="minorHAnsi" w:cstheme="minorHAnsi"/>
          <w:sz w:val="24"/>
          <w:szCs w:val="24"/>
          <w:lang w:eastAsia="fr-FR"/>
        </w:rPr>
      </w:pPr>
    </w:p>
    <w:p w:rsidR="008038EA" w:rsidRPr="008038EA" w:rsidRDefault="008038EA" w:rsidP="008038EA">
      <w:pPr>
        <w:rPr>
          <w:rFonts w:asciiTheme="minorHAnsi" w:eastAsia="Times New Roman" w:hAnsiTheme="minorHAnsi" w:cstheme="minorHAnsi"/>
          <w:b/>
          <w:sz w:val="24"/>
          <w:szCs w:val="24"/>
          <w:lang w:eastAsia="fr-FR"/>
        </w:rPr>
      </w:pPr>
      <w:r w:rsidRPr="008038EA">
        <w:rPr>
          <w:rFonts w:asciiTheme="minorHAnsi" w:eastAsia="Times New Roman" w:hAnsiTheme="minorHAnsi" w:cstheme="minorHAnsi"/>
          <w:b/>
          <w:sz w:val="24"/>
          <w:szCs w:val="24"/>
          <w:lang w:eastAsia="fr-FR"/>
        </w:rPr>
        <w:t>Section 3 : Performances environnementales et énergétiques</w:t>
      </w:r>
    </w:p>
    <w:p w:rsidR="008038EA" w:rsidRDefault="008038EA" w:rsidP="008038EA">
      <w:pPr>
        <w:jc w:val="center"/>
        <w:rPr>
          <w:rFonts w:asciiTheme="minorHAnsi" w:eastAsia="Times New Roman" w:hAnsiTheme="minorHAnsi" w:cstheme="minorHAnsi"/>
          <w:sz w:val="24"/>
          <w:szCs w:val="24"/>
          <w:lang w:eastAsia="fr-FR"/>
        </w:rPr>
      </w:pPr>
    </w:p>
    <w:p w:rsidR="008038EA" w:rsidRPr="008038EA" w:rsidRDefault="008038EA" w:rsidP="008038EA">
      <w:pPr>
        <w:jc w:val="center"/>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Article R111-23 </w:t>
      </w:r>
      <w:hyperlink r:id="rId61" w:tooltip="En savoir plus sur l'article R111-23" w:history="1">
        <w:r w:rsidRPr="008038EA">
          <w:rPr>
            <w:rFonts w:asciiTheme="minorHAnsi" w:eastAsia="Times New Roman" w:hAnsiTheme="minorHAnsi" w:cstheme="minorHAnsi"/>
            <w:color w:val="0000FF"/>
            <w:sz w:val="24"/>
            <w:szCs w:val="24"/>
            <w:u w:val="single"/>
            <w:lang w:eastAsia="fr-FR"/>
          </w:rPr>
          <w:t>En savoir plus sur cet article...</w:t>
        </w:r>
      </w:hyperlink>
    </w:p>
    <w:p w:rsidR="008038EA" w:rsidRPr="008038EA" w:rsidRDefault="008038EA" w:rsidP="008038EA">
      <w:pPr>
        <w:jc w:val="center"/>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Créé par </w:t>
      </w:r>
      <w:hyperlink r:id="rId62" w:history="1">
        <w:r w:rsidRPr="008038EA">
          <w:rPr>
            <w:rFonts w:asciiTheme="minorHAnsi" w:eastAsia="Times New Roman" w:hAnsiTheme="minorHAnsi" w:cstheme="minorHAnsi"/>
            <w:color w:val="0000FF"/>
            <w:sz w:val="24"/>
            <w:szCs w:val="24"/>
            <w:u w:val="single"/>
            <w:lang w:eastAsia="fr-FR"/>
          </w:rPr>
          <w:t>Décret n°2015-1783 du 28 décembre 2015 - art.</w:t>
        </w:r>
      </w:hyperlink>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br/>
        <w:t xml:space="preserve">Pour l'application de l'article </w:t>
      </w:r>
      <w:hyperlink r:id="rId63" w:history="1">
        <w:r w:rsidRPr="008038EA">
          <w:rPr>
            <w:rFonts w:asciiTheme="minorHAnsi" w:eastAsia="Times New Roman" w:hAnsiTheme="minorHAnsi" w:cstheme="minorHAnsi"/>
            <w:color w:val="0000FF"/>
            <w:sz w:val="24"/>
            <w:szCs w:val="24"/>
            <w:u w:val="single"/>
            <w:lang w:eastAsia="fr-FR"/>
          </w:rPr>
          <w:t>L. 111-16</w:t>
        </w:r>
      </w:hyperlink>
      <w:r w:rsidRPr="008038EA">
        <w:rPr>
          <w:rFonts w:asciiTheme="minorHAnsi" w:eastAsia="Times New Roman" w:hAnsiTheme="minorHAnsi" w:cstheme="minorHAnsi"/>
          <w:sz w:val="24"/>
          <w:szCs w:val="24"/>
          <w:lang w:eastAsia="fr-FR"/>
        </w:rPr>
        <w:t xml:space="preserve">, les dispositifs, matériaux ou procédés sont : </w:t>
      </w:r>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1° Les bois, végétaux et matériaux </w:t>
      </w:r>
      <w:proofErr w:type="spellStart"/>
      <w:r w:rsidRPr="008038EA">
        <w:rPr>
          <w:rFonts w:asciiTheme="minorHAnsi" w:eastAsia="Times New Roman" w:hAnsiTheme="minorHAnsi" w:cstheme="minorHAnsi"/>
          <w:sz w:val="24"/>
          <w:szCs w:val="24"/>
          <w:lang w:eastAsia="fr-FR"/>
        </w:rPr>
        <w:t>biosourcés</w:t>
      </w:r>
      <w:proofErr w:type="spellEnd"/>
      <w:r w:rsidRPr="008038EA">
        <w:rPr>
          <w:rFonts w:asciiTheme="minorHAnsi" w:eastAsia="Times New Roman" w:hAnsiTheme="minorHAnsi" w:cstheme="minorHAnsi"/>
          <w:sz w:val="24"/>
          <w:szCs w:val="24"/>
          <w:lang w:eastAsia="fr-FR"/>
        </w:rPr>
        <w:t xml:space="preserve"> utilisés en façade ou en toiture ; </w:t>
      </w:r>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2° Les systèmes de production d'énergie à partir de sources renouvelables, lorsqu'ils correspondent aux besoins de la consommation domestique des occupants de l'immeuble ou de la partie d'immeuble concernée. Un arrêté du ministre chargé de l'urbanisme précise les critères d'appréciation des besoins de consommation précités ; </w:t>
      </w:r>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3° Les équipements de récupération des eaux de pluie, lorsqu'ils correspondent aux besoins de la consommation domestique des occupants de l'immeuble ou de la partie d'immeuble concernée ; </w:t>
      </w:r>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4° Les pompes à chaleur ; </w:t>
      </w:r>
    </w:p>
    <w:p w:rsidR="008038EA" w:rsidRP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5° Les brise-soleils.</w:t>
      </w:r>
    </w:p>
    <w:p w:rsidR="008038EA" w:rsidRPr="008038EA" w:rsidRDefault="008038EA" w:rsidP="008038EA">
      <w:pPr>
        <w:jc w:val="center"/>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Article R111-24 </w:t>
      </w:r>
      <w:hyperlink r:id="rId64" w:tooltip="En savoir plus sur l'article R111-24" w:history="1">
        <w:r w:rsidRPr="008038EA">
          <w:rPr>
            <w:rFonts w:asciiTheme="minorHAnsi" w:eastAsia="Times New Roman" w:hAnsiTheme="minorHAnsi" w:cstheme="minorHAnsi"/>
            <w:color w:val="0000FF"/>
            <w:sz w:val="24"/>
            <w:szCs w:val="24"/>
            <w:u w:val="single"/>
            <w:lang w:eastAsia="fr-FR"/>
          </w:rPr>
          <w:t>En savoir plus sur cet article...</w:t>
        </w:r>
      </w:hyperlink>
    </w:p>
    <w:p w:rsidR="008038EA" w:rsidRPr="008038EA" w:rsidRDefault="008038EA" w:rsidP="008038EA">
      <w:pPr>
        <w:jc w:val="center"/>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 xml:space="preserve">Créé par </w:t>
      </w:r>
      <w:hyperlink r:id="rId65" w:history="1">
        <w:r w:rsidRPr="008038EA">
          <w:rPr>
            <w:rFonts w:asciiTheme="minorHAnsi" w:eastAsia="Times New Roman" w:hAnsiTheme="minorHAnsi" w:cstheme="minorHAnsi"/>
            <w:color w:val="0000FF"/>
            <w:sz w:val="24"/>
            <w:szCs w:val="24"/>
            <w:u w:val="single"/>
            <w:lang w:eastAsia="fr-FR"/>
          </w:rPr>
          <w:t>Décret n°2015-1783 du 28 décembre 2015 - art.</w:t>
        </w:r>
      </w:hyperlink>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br/>
        <w:t xml:space="preserve">La délibération par laquelle, en application du 2° de l'article </w:t>
      </w:r>
      <w:hyperlink r:id="rId66" w:history="1">
        <w:r w:rsidRPr="008038EA">
          <w:rPr>
            <w:rFonts w:asciiTheme="minorHAnsi" w:eastAsia="Times New Roman" w:hAnsiTheme="minorHAnsi" w:cstheme="minorHAnsi"/>
            <w:color w:val="0000FF"/>
            <w:sz w:val="24"/>
            <w:szCs w:val="24"/>
            <w:u w:val="single"/>
            <w:lang w:eastAsia="fr-FR"/>
          </w:rPr>
          <w:t>L. 111-17</w:t>
        </w:r>
      </w:hyperlink>
      <w:r w:rsidRPr="008038EA">
        <w:rPr>
          <w:rFonts w:asciiTheme="minorHAnsi" w:eastAsia="Times New Roman" w:hAnsiTheme="minorHAnsi" w:cstheme="minorHAnsi"/>
          <w:sz w:val="24"/>
          <w:szCs w:val="24"/>
          <w:lang w:eastAsia="fr-FR"/>
        </w:rPr>
        <w:t xml:space="preserve">, la commune ou l'établissement public de coopération intercommunale compétent délimite un périmètre dans lequel les dispositions de l'article </w:t>
      </w:r>
      <w:hyperlink r:id="rId67" w:history="1">
        <w:r w:rsidRPr="008038EA">
          <w:rPr>
            <w:rFonts w:asciiTheme="minorHAnsi" w:eastAsia="Times New Roman" w:hAnsiTheme="minorHAnsi" w:cstheme="minorHAnsi"/>
            <w:color w:val="0000FF"/>
            <w:sz w:val="24"/>
            <w:szCs w:val="24"/>
            <w:u w:val="single"/>
            <w:lang w:eastAsia="fr-FR"/>
          </w:rPr>
          <w:t xml:space="preserve">L. 111-16 </w:t>
        </w:r>
      </w:hyperlink>
      <w:r w:rsidRPr="008038EA">
        <w:rPr>
          <w:rFonts w:asciiTheme="minorHAnsi" w:eastAsia="Times New Roman" w:hAnsiTheme="minorHAnsi" w:cstheme="minorHAnsi"/>
          <w:sz w:val="24"/>
          <w:szCs w:val="24"/>
          <w:lang w:eastAsia="fr-FR"/>
        </w:rPr>
        <w:t xml:space="preserve">ne s'appliquent pas fait l'objet des procédures d'association du public et de publicité prévues aux articles </w:t>
      </w:r>
      <w:hyperlink r:id="rId68" w:history="1">
        <w:r w:rsidRPr="008038EA">
          <w:rPr>
            <w:rFonts w:asciiTheme="minorHAnsi" w:eastAsia="Times New Roman" w:hAnsiTheme="minorHAnsi" w:cstheme="minorHAnsi"/>
            <w:color w:val="0000FF"/>
            <w:sz w:val="24"/>
            <w:szCs w:val="24"/>
            <w:u w:val="single"/>
            <w:lang w:eastAsia="fr-FR"/>
          </w:rPr>
          <w:t xml:space="preserve">L. 153-47 </w:t>
        </w:r>
      </w:hyperlink>
      <w:r w:rsidRPr="008038EA">
        <w:rPr>
          <w:rFonts w:asciiTheme="minorHAnsi" w:eastAsia="Times New Roman" w:hAnsiTheme="minorHAnsi" w:cstheme="minorHAnsi"/>
          <w:sz w:val="24"/>
          <w:szCs w:val="24"/>
          <w:lang w:eastAsia="fr-FR"/>
        </w:rPr>
        <w:t xml:space="preserve">et </w:t>
      </w:r>
      <w:hyperlink r:id="rId69" w:history="1">
        <w:r w:rsidRPr="008038EA">
          <w:rPr>
            <w:rFonts w:asciiTheme="minorHAnsi" w:eastAsia="Times New Roman" w:hAnsiTheme="minorHAnsi" w:cstheme="minorHAnsi"/>
            <w:color w:val="0000FF"/>
            <w:sz w:val="24"/>
            <w:szCs w:val="24"/>
            <w:u w:val="single"/>
            <w:lang w:eastAsia="fr-FR"/>
          </w:rPr>
          <w:t>R. 153-20</w:t>
        </w:r>
      </w:hyperlink>
      <w:r w:rsidRPr="008038EA">
        <w:rPr>
          <w:rFonts w:asciiTheme="minorHAnsi" w:eastAsia="Times New Roman" w:hAnsiTheme="minorHAnsi" w:cstheme="minorHAnsi"/>
          <w:sz w:val="24"/>
          <w:szCs w:val="24"/>
          <w:lang w:eastAsia="fr-FR"/>
        </w:rPr>
        <w:t xml:space="preserve">. </w:t>
      </w:r>
    </w:p>
    <w:p w:rsidR="008038EA" w:rsidRDefault="008038EA" w:rsidP="008038EA">
      <w:pPr>
        <w:spacing w:before="100" w:beforeAutospacing="1" w:after="100" w:afterAutospacing="1"/>
        <w:rPr>
          <w:rFonts w:asciiTheme="minorHAnsi" w:eastAsia="Times New Roman" w:hAnsiTheme="minorHAnsi" w:cstheme="minorHAnsi"/>
          <w:sz w:val="24"/>
          <w:szCs w:val="24"/>
          <w:lang w:eastAsia="fr-FR"/>
        </w:rPr>
      </w:pPr>
      <w:r w:rsidRPr="008038EA">
        <w:rPr>
          <w:rFonts w:asciiTheme="minorHAnsi" w:eastAsia="Times New Roman" w:hAnsiTheme="minorHAnsi" w:cstheme="minorHAnsi"/>
          <w:sz w:val="24"/>
          <w:szCs w:val="24"/>
          <w:lang w:eastAsia="fr-FR"/>
        </w:rPr>
        <w:t>L'avis de l'architecte des Bâtiments de France mentionné au 2° de l'article L. 111-17 est réputé favorable s'il n'est pas rendu par écrit dans un délai de deux mois après la transmission du projet de périmètre par le maire ou le président de l'établissement public de coopération intercommunale compétent matière de plan local d'urbanisme.</w:t>
      </w: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0B77E2" w:rsidRPr="000B77E2" w:rsidRDefault="000B77E2" w:rsidP="000B77E2">
      <w:pPr>
        <w:rPr>
          <w:rFonts w:asciiTheme="minorHAnsi" w:eastAsia="Times New Roman" w:hAnsiTheme="minorHAnsi" w:cstheme="minorHAnsi"/>
          <w:b/>
          <w:sz w:val="24"/>
          <w:szCs w:val="24"/>
          <w:lang w:eastAsia="fr-FR"/>
        </w:rPr>
      </w:pPr>
      <w:r w:rsidRPr="000B77E2">
        <w:rPr>
          <w:rFonts w:asciiTheme="minorHAnsi" w:eastAsia="Times New Roman" w:hAnsiTheme="minorHAnsi" w:cstheme="minorHAnsi"/>
          <w:b/>
          <w:sz w:val="24"/>
          <w:szCs w:val="24"/>
          <w:lang w:eastAsia="fr-FR"/>
        </w:rPr>
        <w:t>Section 4 : Réalisation d'aires de stationnement</w:t>
      </w: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R111-25 </w:t>
      </w:r>
      <w:hyperlink r:id="rId70" w:tooltip="En savoir plus sur l'article R111-25"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71"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Le permis ou la décision prise sur la déclaration préalable peut imposer la réalisation d'installations propres à assurer le stationnement hors des voies publiques des véhicules correspondant aux caractéristiques du projet.</w:t>
      </w:r>
    </w:p>
    <w:p w:rsid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Il ne peut être exigé la réalisation de plus d'une aire de stationnement par logement lors de la construction de logements locatifs financés avec un prêt aidé par l'Etat.</w:t>
      </w:r>
    </w:p>
    <w:p w:rsid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L'obligation de réaliser des aires de stationnement n'est pas applicable aux travaux de transformation ou d'amélioration de bâtiments affectés à des logements locatifs financés avec un prêt aidé par l'Etat, y compris dans le cas où ces travaux s'accompagnent de la création de surface de plancher, dans la limite d'un plafond de 50 % de la surface de plancher existant avant le commencement des travaux.</w:t>
      </w:r>
    </w:p>
    <w:p w:rsidR="000B77E2" w:rsidRDefault="000B77E2" w:rsidP="000B77E2">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0B77E2">
      <w:pPr>
        <w:spacing w:before="100" w:beforeAutospacing="1" w:after="100" w:afterAutospacing="1"/>
        <w:rPr>
          <w:rFonts w:asciiTheme="minorHAnsi" w:eastAsia="Times New Roman" w:hAnsiTheme="minorHAnsi" w:cstheme="minorHAnsi"/>
          <w:sz w:val="24"/>
          <w:szCs w:val="24"/>
          <w:lang w:eastAsia="fr-FR"/>
        </w:rPr>
      </w:pPr>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p>
    <w:p w:rsidR="000B77E2" w:rsidRDefault="000B77E2" w:rsidP="000B77E2">
      <w:pPr>
        <w:rPr>
          <w:rFonts w:asciiTheme="minorHAnsi" w:eastAsia="Times New Roman" w:hAnsiTheme="minorHAnsi" w:cstheme="minorHAnsi"/>
          <w:b/>
          <w:sz w:val="24"/>
          <w:szCs w:val="24"/>
          <w:lang w:eastAsia="fr-FR"/>
        </w:rPr>
      </w:pPr>
      <w:r w:rsidRPr="000B77E2">
        <w:rPr>
          <w:rFonts w:asciiTheme="minorHAnsi" w:eastAsia="Times New Roman" w:hAnsiTheme="minorHAnsi" w:cstheme="minorHAnsi"/>
          <w:b/>
          <w:sz w:val="24"/>
          <w:szCs w:val="24"/>
          <w:lang w:eastAsia="fr-FR"/>
        </w:rPr>
        <w:t>Section 5 : Préservation des éléments présentant un intérêt architectural, patrimonial, paysager ou écologique</w:t>
      </w:r>
    </w:p>
    <w:p w:rsidR="000B77E2" w:rsidRDefault="000B77E2" w:rsidP="000B77E2">
      <w:pPr>
        <w:rPr>
          <w:rFonts w:asciiTheme="minorHAnsi" w:eastAsia="Times New Roman" w:hAnsiTheme="minorHAnsi" w:cstheme="minorHAnsi"/>
          <w:b/>
          <w:sz w:val="24"/>
          <w:szCs w:val="24"/>
          <w:lang w:eastAsia="fr-FR"/>
        </w:rPr>
      </w:pPr>
    </w:p>
    <w:p w:rsidR="000B77E2" w:rsidRPr="000B77E2" w:rsidRDefault="000B77E2" w:rsidP="000B77E2">
      <w:pPr>
        <w:rPr>
          <w:rFonts w:asciiTheme="minorHAnsi" w:eastAsia="Times New Roman" w:hAnsiTheme="minorHAnsi" w:cstheme="minorHAnsi"/>
          <w:b/>
          <w:sz w:val="24"/>
          <w:szCs w:val="24"/>
          <w:lang w:eastAsia="fr-FR"/>
        </w:rPr>
      </w:pP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R111-26 </w:t>
      </w:r>
      <w:hyperlink r:id="rId72" w:tooltip="En savoir plus sur l'article R111-26"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73"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 xml:space="preserve">Le permis ou la décision prise sur la déclaration préalable doit respecter les préoccupations d'environnement définies aux articles </w:t>
      </w:r>
      <w:hyperlink r:id="rId74" w:history="1">
        <w:r w:rsidRPr="000B77E2">
          <w:rPr>
            <w:rFonts w:asciiTheme="minorHAnsi" w:eastAsia="Times New Roman" w:hAnsiTheme="minorHAnsi" w:cstheme="minorHAnsi"/>
            <w:color w:val="0000FF"/>
            <w:sz w:val="24"/>
            <w:szCs w:val="24"/>
            <w:u w:val="single"/>
            <w:lang w:eastAsia="fr-FR"/>
          </w:rPr>
          <w:t>L. 110-1</w:t>
        </w:r>
      </w:hyperlink>
      <w:r w:rsidRPr="000B77E2">
        <w:rPr>
          <w:rFonts w:asciiTheme="minorHAnsi" w:eastAsia="Times New Roman" w:hAnsiTheme="minorHAnsi" w:cstheme="minorHAnsi"/>
          <w:sz w:val="24"/>
          <w:szCs w:val="24"/>
          <w:lang w:eastAsia="fr-FR"/>
        </w:rPr>
        <w:t xml:space="preserve"> et </w:t>
      </w:r>
      <w:hyperlink r:id="rId75" w:history="1">
        <w:r w:rsidRPr="000B77E2">
          <w:rPr>
            <w:rFonts w:asciiTheme="minorHAnsi" w:eastAsia="Times New Roman" w:hAnsiTheme="minorHAnsi" w:cstheme="minorHAnsi"/>
            <w:color w:val="0000FF"/>
            <w:sz w:val="24"/>
            <w:szCs w:val="24"/>
            <w:u w:val="single"/>
            <w:lang w:eastAsia="fr-FR"/>
          </w:rPr>
          <w:t>L. 110-2</w:t>
        </w:r>
      </w:hyperlink>
      <w:r w:rsidRPr="000B77E2">
        <w:rPr>
          <w:rFonts w:asciiTheme="minorHAnsi" w:eastAsia="Times New Roman" w:hAnsiTheme="minorHAnsi" w:cstheme="minorHAnsi"/>
          <w:sz w:val="24"/>
          <w:szCs w:val="24"/>
          <w:lang w:eastAsia="fr-FR"/>
        </w:rPr>
        <w:t xml:space="preserve"> du code de l'environnement. Le projet peut n'être accepté que sous réserve de l'observation de prescriptions spéciales si, par son importance, sa situation ou sa destination, il est de nature à avoir des conséquences dommageables pour l'environnement.</w:t>
      </w: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R111-27 </w:t>
      </w:r>
      <w:hyperlink r:id="rId76" w:tooltip="En savoir plus sur l'article R111-27"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77"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 xml:space="preserve">Le projet peut être refusé ou n'être accepté que sous réserve de l'observation de prescriptions spéciales si les constructions, par leur situation, leur architecture, leurs dimensions ou l'aspect extérieur des bâtiments ou ouvrages à édifier ou à modifier, sont de nature à porter atteinte </w:t>
      </w:r>
      <w:r w:rsidRPr="000B77E2">
        <w:rPr>
          <w:rFonts w:asciiTheme="minorHAnsi" w:eastAsia="Times New Roman" w:hAnsiTheme="minorHAnsi" w:cstheme="minorHAnsi"/>
          <w:sz w:val="24"/>
          <w:szCs w:val="24"/>
          <w:lang w:eastAsia="fr-FR"/>
        </w:rPr>
        <w:lastRenderedPageBreak/>
        <w:t>au caractère ou à l'intérêt des lieux avoisinants, aux sites, aux paysages naturels ou urbains ainsi qu'à la conservation des perspectives monumentales.</w:t>
      </w: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R111-28 </w:t>
      </w:r>
      <w:hyperlink r:id="rId78" w:tooltip="En savoir plus sur l'article R111-28"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79"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Dans les secteurs déjà partiellement bâtis, présentant une unité d'aspect et non compris dans des programmes de rénovation, l'autorisation de construire à une hauteur supérieure à la hauteur moyenne des constructions avoisinantes peut être refusée ou subordonnée à des prescriptions particulières.</w:t>
      </w: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R111-29 </w:t>
      </w:r>
      <w:hyperlink r:id="rId80" w:tooltip="En savoir plus sur l'article R111-29"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81"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Les murs séparatifs et les murs aveugles apparentés d'un bâtiment doivent, lorsqu'ils ne sont pas construits avec les mêmes matériaux que les murs de façades principales, avoir un aspect qui s'harmonise avec celui des façades.</w:t>
      </w:r>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Article R111-30 </w:t>
      </w:r>
      <w:hyperlink r:id="rId82" w:tooltip="En savoir plus sur l'article R111-30" w:history="1">
        <w:r w:rsidRPr="000B77E2">
          <w:rPr>
            <w:rFonts w:asciiTheme="minorHAnsi" w:eastAsia="Times New Roman" w:hAnsiTheme="minorHAnsi" w:cstheme="minorHAnsi"/>
            <w:color w:val="0000FF"/>
            <w:sz w:val="24"/>
            <w:szCs w:val="24"/>
            <w:u w:val="single"/>
            <w:lang w:eastAsia="fr-FR"/>
          </w:rPr>
          <w:t>En savoir plus sur cet article...</w:t>
        </w:r>
      </w:hyperlink>
    </w:p>
    <w:p w:rsidR="000B77E2" w:rsidRPr="000B77E2" w:rsidRDefault="000B77E2" w:rsidP="000B77E2">
      <w:pPr>
        <w:jc w:val="center"/>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t xml:space="preserve">Créé par </w:t>
      </w:r>
      <w:hyperlink r:id="rId83" w:history="1">
        <w:r w:rsidRPr="000B77E2">
          <w:rPr>
            <w:rFonts w:asciiTheme="minorHAnsi" w:eastAsia="Times New Roman" w:hAnsiTheme="minorHAnsi" w:cstheme="minorHAnsi"/>
            <w:color w:val="0000FF"/>
            <w:sz w:val="24"/>
            <w:szCs w:val="24"/>
            <w:u w:val="single"/>
            <w:lang w:eastAsia="fr-FR"/>
          </w:rPr>
          <w:t>Décret n°2015-1783 du 28 décembre 2015 - art.</w:t>
        </w:r>
      </w:hyperlink>
    </w:p>
    <w:p w:rsidR="000B77E2" w:rsidRPr="000B77E2" w:rsidRDefault="000B77E2" w:rsidP="000B77E2">
      <w:pPr>
        <w:spacing w:before="100" w:beforeAutospacing="1" w:after="100" w:afterAutospacing="1"/>
        <w:rPr>
          <w:rFonts w:asciiTheme="minorHAnsi" w:eastAsia="Times New Roman" w:hAnsiTheme="minorHAnsi" w:cstheme="minorHAnsi"/>
          <w:sz w:val="24"/>
          <w:szCs w:val="24"/>
          <w:lang w:eastAsia="fr-FR"/>
        </w:rPr>
      </w:pPr>
      <w:r w:rsidRPr="000B77E2">
        <w:rPr>
          <w:rFonts w:asciiTheme="minorHAnsi" w:eastAsia="Times New Roman" w:hAnsiTheme="minorHAnsi" w:cstheme="minorHAnsi"/>
          <w:sz w:val="24"/>
          <w:szCs w:val="24"/>
          <w:lang w:eastAsia="fr-FR"/>
        </w:rPr>
        <w:br/>
        <w:t>La création ou l'extension d'installations ou de bâtiments à caractère industriel ainsi que de constructions légères ou provisoires peut être subordonnée à des prescriptions particulières, notamment à l'aménagement d'écrans de verdure ou à l'observation d'une marge de reculement.</w:t>
      </w:r>
    </w:p>
    <w:p w:rsidR="000B77E2" w:rsidRPr="008038EA" w:rsidRDefault="000B77E2" w:rsidP="008038EA">
      <w:pPr>
        <w:spacing w:before="100" w:beforeAutospacing="1" w:after="100" w:afterAutospacing="1"/>
        <w:rPr>
          <w:rFonts w:asciiTheme="minorHAnsi" w:eastAsia="Times New Roman" w:hAnsiTheme="minorHAnsi" w:cstheme="minorHAnsi"/>
          <w:sz w:val="24"/>
          <w:szCs w:val="24"/>
          <w:lang w:eastAsia="fr-FR"/>
        </w:rPr>
      </w:pPr>
    </w:p>
    <w:p w:rsidR="008038EA" w:rsidRPr="002D510F" w:rsidRDefault="008038EA" w:rsidP="002D510F">
      <w:pPr>
        <w:spacing w:before="100" w:beforeAutospacing="1" w:after="100" w:afterAutospacing="1"/>
        <w:rPr>
          <w:rFonts w:asciiTheme="minorHAnsi" w:eastAsia="Times New Roman" w:hAnsiTheme="minorHAnsi" w:cstheme="minorHAnsi"/>
          <w:sz w:val="24"/>
          <w:szCs w:val="24"/>
          <w:lang w:eastAsia="fr-FR"/>
        </w:rPr>
      </w:pPr>
    </w:p>
    <w:p w:rsidR="002D510F" w:rsidRPr="00306C66" w:rsidRDefault="002D510F" w:rsidP="002D510F">
      <w:pPr>
        <w:spacing w:before="100" w:beforeAutospacing="1" w:after="100" w:afterAutospacing="1"/>
        <w:rPr>
          <w:rFonts w:asciiTheme="minorHAnsi" w:eastAsia="Times New Roman" w:hAnsiTheme="minorHAnsi" w:cstheme="minorHAnsi"/>
          <w:sz w:val="24"/>
          <w:szCs w:val="24"/>
          <w:lang w:eastAsia="fr-FR"/>
        </w:rPr>
      </w:pPr>
    </w:p>
    <w:p w:rsidR="00D153D0" w:rsidRPr="00306C66" w:rsidRDefault="00D153D0" w:rsidP="002D510F">
      <w:pPr>
        <w:rPr>
          <w:rFonts w:asciiTheme="minorHAnsi" w:hAnsiTheme="minorHAnsi" w:cstheme="minorHAnsi"/>
        </w:rPr>
      </w:pPr>
    </w:p>
    <w:sectPr w:rsidR="00D153D0" w:rsidRPr="0030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452AD"/>
    <w:multiLevelType w:val="multilevel"/>
    <w:tmpl w:val="F44E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913E0"/>
    <w:multiLevelType w:val="multilevel"/>
    <w:tmpl w:val="36F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66"/>
    <w:rsid w:val="000B77E2"/>
    <w:rsid w:val="002D510F"/>
    <w:rsid w:val="00306C66"/>
    <w:rsid w:val="004950F7"/>
    <w:rsid w:val="007B17E7"/>
    <w:rsid w:val="008038EA"/>
    <w:rsid w:val="009A2DDF"/>
    <w:rsid w:val="00D153D0"/>
    <w:rsid w:val="00F36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62FE-55E6-40BB-9A54-3EB7B530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E7"/>
    <w:rPr>
      <w:rFonts w:ascii="Arial" w:hAnsi="Arial"/>
    </w:rPr>
  </w:style>
  <w:style w:type="paragraph" w:styleId="Titre1">
    <w:name w:val="heading 1"/>
    <w:basedOn w:val="Normal"/>
    <w:next w:val="Normal"/>
    <w:link w:val="Titre1Car"/>
    <w:autoRedefine/>
    <w:uiPriority w:val="9"/>
    <w:qFormat/>
    <w:rsid w:val="00F36E00"/>
    <w:pPr>
      <w:keepNext/>
      <w:keepLines/>
      <w:spacing w:before="240"/>
      <w:outlineLvl w:val="0"/>
    </w:pPr>
    <w:rPr>
      <w:rFonts w:ascii="Calibri" w:eastAsiaTheme="majorEastAsia" w:hAnsi="Calibri" w:cstheme="majorBidi"/>
      <w:b/>
      <w:smallCaps/>
      <w:sz w:val="28"/>
      <w:szCs w:val="32"/>
    </w:rPr>
  </w:style>
  <w:style w:type="paragraph" w:styleId="Titre2">
    <w:name w:val="heading 2"/>
    <w:basedOn w:val="Normal"/>
    <w:next w:val="Normal"/>
    <w:link w:val="Titre2Car"/>
    <w:autoRedefine/>
    <w:uiPriority w:val="9"/>
    <w:qFormat/>
    <w:rsid w:val="00F36E00"/>
    <w:pPr>
      <w:keepNext/>
      <w:keepLines/>
      <w:spacing w:before="40"/>
      <w:outlineLvl w:val="1"/>
    </w:pPr>
    <w:rPr>
      <w:rFonts w:ascii="Calibri" w:eastAsiaTheme="majorEastAsia" w:hAnsi="Calibri" w:cstheme="majorBidi"/>
      <w:b/>
      <w:sz w:val="24"/>
      <w:szCs w:val="26"/>
    </w:rPr>
  </w:style>
  <w:style w:type="paragraph" w:styleId="Titre3">
    <w:name w:val="heading 3"/>
    <w:basedOn w:val="Normal"/>
    <w:next w:val="Normal"/>
    <w:link w:val="Titre3Car"/>
    <w:autoRedefine/>
    <w:uiPriority w:val="9"/>
    <w:qFormat/>
    <w:rsid w:val="00F36E00"/>
    <w:pPr>
      <w:keepNext/>
      <w:keepLines/>
      <w:spacing w:before="40"/>
      <w:outlineLvl w:val="2"/>
    </w:pPr>
    <w:rPr>
      <w:rFonts w:ascii="Calibri" w:eastAsiaTheme="majorEastAsia" w:hAnsi="Calibr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6E00"/>
    <w:rPr>
      <w:rFonts w:ascii="Calibri" w:eastAsiaTheme="majorEastAsia" w:hAnsi="Calibri" w:cstheme="majorBidi"/>
      <w:b/>
      <w:smallCaps/>
      <w:sz w:val="28"/>
      <w:szCs w:val="32"/>
    </w:rPr>
  </w:style>
  <w:style w:type="character" w:customStyle="1" w:styleId="Titre2Car">
    <w:name w:val="Titre 2 Car"/>
    <w:basedOn w:val="Policepardfaut"/>
    <w:link w:val="Titre2"/>
    <w:uiPriority w:val="9"/>
    <w:rsid w:val="00F36E00"/>
    <w:rPr>
      <w:rFonts w:ascii="Calibri" w:eastAsiaTheme="majorEastAsia" w:hAnsi="Calibri" w:cstheme="majorBidi"/>
      <w:b/>
      <w:sz w:val="24"/>
      <w:szCs w:val="26"/>
    </w:rPr>
  </w:style>
  <w:style w:type="table" w:styleId="Grilledutableau">
    <w:name w:val="Table Grid"/>
    <w:basedOn w:val="TableauNormal"/>
    <w:uiPriority w:val="39"/>
    <w:rsid w:val="00F3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36E00"/>
    <w:rPr>
      <w:sz w:val="20"/>
    </w:rPr>
  </w:style>
  <w:style w:type="character" w:customStyle="1" w:styleId="Titre3Car">
    <w:name w:val="Titre 3 Car"/>
    <w:basedOn w:val="Policepardfaut"/>
    <w:link w:val="Titre3"/>
    <w:uiPriority w:val="9"/>
    <w:rsid w:val="00F36E00"/>
    <w:rPr>
      <w:rFonts w:ascii="Calibri" w:eastAsiaTheme="majorEastAsia" w:hAnsi="Calibri" w:cstheme="majorBidi"/>
      <w:sz w:val="24"/>
      <w:szCs w:val="24"/>
    </w:rPr>
  </w:style>
  <w:style w:type="character" w:styleId="Lienhypertexte">
    <w:name w:val="Hyperlink"/>
    <w:basedOn w:val="Policepardfaut"/>
    <w:uiPriority w:val="99"/>
    <w:semiHidden/>
    <w:unhideWhenUsed/>
    <w:rsid w:val="00306C66"/>
    <w:rPr>
      <w:color w:val="0000FF"/>
      <w:u w:val="single"/>
    </w:rPr>
  </w:style>
  <w:style w:type="paragraph" w:styleId="NormalWeb">
    <w:name w:val="Normal (Web)"/>
    <w:basedOn w:val="Normal"/>
    <w:uiPriority w:val="99"/>
    <w:unhideWhenUsed/>
    <w:rsid w:val="00306C6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950F7"/>
    <w:rPr>
      <w:color w:val="954F72" w:themeColor="followedHyperlink"/>
      <w:u w:val="single"/>
    </w:rPr>
  </w:style>
  <w:style w:type="paragraph" w:styleId="Textedebulles">
    <w:name w:val="Balloon Text"/>
    <w:basedOn w:val="Normal"/>
    <w:link w:val="TextedebullesCar"/>
    <w:uiPriority w:val="99"/>
    <w:semiHidden/>
    <w:unhideWhenUsed/>
    <w:rsid w:val="004950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075">
      <w:bodyDiv w:val="1"/>
      <w:marLeft w:val="0"/>
      <w:marRight w:val="0"/>
      <w:marTop w:val="0"/>
      <w:marBottom w:val="0"/>
      <w:divBdr>
        <w:top w:val="none" w:sz="0" w:space="0" w:color="auto"/>
        <w:left w:val="none" w:sz="0" w:space="0" w:color="auto"/>
        <w:bottom w:val="none" w:sz="0" w:space="0" w:color="auto"/>
        <w:right w:val="none" w:sz="0" w:space="0" w:color="auto"/>
      </w:divBdr>
      <w:divsChild>
        <w:div w:id="84301532">
          <w:marLeft w:val="0"/>
          <w:marRight w:val="0"/>
          <w:marTop w:val="0"/>
          <w:marBottom w:val="0"/>
          <w:divBdr>
            <w:top w:val="none" w:sz="0" w:space="0" w:color="auto"/>
            <w:left w:val="none" w:sz="0" w:space="0" w:color="auto"/>
            <w:bottom w:val="none" w:sz="0" w:space="0" w:color="auto"/>
            <w:right w:val="none" w:sz="0" w:space="0" w:color="auto"/>
          </w:divBdr>
        </w:div>
        <w:div w:id="1967349852">
          <w:marLeft w:val="0"/>
          <w:marRight w:val="0"/>
          <w:marTop w:val="0"/>
          <w:marBottom w:val="0"/>
          <w:divBdr>
            <w:top w:val="none" w:sz="0" w:space="0" w:color="auto"/>
            <w:left w:val="none" w:sz="0" w:space="0" w:color="auto"/>
            <w:bottom w:val="none" w:sz="0" w:space="0" w:color="auto"/>
            <w:right w:val="none" w:sz="0" w:space="0" w:color="auto"/>
          </w:divBdr>
          <w:divsChild>
            <w:div w:id="1319529161">
              <w:marLeft w:val="0"/>
              <w:marRight w:val="0"/>
              <w:marTop w:val="0"/>
              <w:marBottom w:val="0"/>
              <w:divBdr>
                <w:top w:val="none" w:sz="0" w:space="0" w:color="auto"/>
                <w:left w:val="none" w:sz="0" w:space="0" w:color="auto"/>
                <w:bottom w:val="none" w:sz="0" w:space="0" w:color="auto"/>
                <w:right w:val="none" w:sz="0" w:space="0" w:color="auto"/>
              </w:divBdr>
            </w:div>
            <w:div w:id="1207909675">
              <w:marLeft w:val="0"/>
              <w:marRight w:val="0"/>
              <w:marTop w:val="0"/>
              <w:marBottom w:val="0"/>
              <w:divBdr>
                <w:top w:val="none" w:sz="0" w:space="0" w:color="auto"/>
                <w:left w:val="none" w:sz="0" w:space="0" w:color="auto"/>
                <w:bottom w:val="none" w:sz="0" w:space="0" w:color="auto"/>
                <w:right w:val="none" w:sz="0" w:space="0" w:color="auto"/>
              </w:divBdr>
            </w:div>
            <w:div w:id="1102143918">
              <w:marLeft w:val="0"/>
              <w:marRight w:val="0"/>
              <w:marTop w:val="0"/>
              <w:marBottom w:val="0"/>
              <w:divBdr>
                <w:top w:val="none" w:sz="0" w:space="0" w:color="auto"/>
                <w:left w:val="none" w:sz="0" w:space="0" w:color="auto"/>
                <w:bottom w:val="none" w:sz="0" w:space="0" w:color="auto"/>
                <w:right w:val="none" w:sz="0" w:space="0" w:color="auto"/>
              </w:divBdr>
            </w:div>
          </w:divsChild>
        </w:div>
        <w:div w:id="576672744">
          <w:marLeft w:val="0"/>
          <w:marRight w:val="0"/>
          <w:marTop w:val="0"/>
          <w:marBottom w:val="0"/>
          <w:divBdr>
            <w:top w:val="none" w:sz="0" w:space="0" w:color="auto"/>
            <w:left w:val="none" w:sz="0" w:space="0" w:color="auto"/>
            <w:bottom w:val="none" w:sz="0" w:space="0" w:color="auto"/>
            <w:right w:val="none" w:sz="0" w:space="0" w:color="auto"/>
          </w:divBdr>
          <w:divsChild>
            <w:div w:id="1362245360">
              <w:marLeft w:val="0"/>
              <w:marRight w:val="0"/>
              <w:marTop w:val="0"/>
              <w:marBottom w:val="0"/>
              <w:divBdr>
                <w:top w:val="none" w:sz="0" w:space="0" w:color="auto"/>
                <w:left w:val="none" w:sz="0" w:space="0" w:color="auto"/>
                <w:bottom w:val="none" w:sz="0" w:space="0" w:color="auto"/>
                <w:right w:val="none" w:sz="0" w:space="0" w:color="auto"/>
              </w:divBdr>
            </w:div>
            <w:div w:id="1037120558">
              <w:marLeft w:val="0"/>
              <w:marRight w:val="0"/>
              <w:marTop w:val="0"/>
              <w:marBottom w:val="0"/>
              <w:divBdr>
                <w:top w:val="none" w:sz="0" w:space="0" w:color="auto"/>
                <w:left w:val="none" w:sz="0" w:space="0" w:color="auto"/>
                <w:bottom w:val="none" w:sz="0" w:space="0" w:color="auto"/>
                <w:right w:val="none" w:sz="0" w:space="0" w:color="auto"/>
              </w:divBdr>
            </w:div>
            <w:div w:id="1637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7717">
      <w:bodyDiv w:val="1"/>
      <w:marLeft w:val="0"/>
      <w:marRight w:val="0"/>
      <w:marTop w:val="0"/>
      <w:marBottom w:val="0"/>
      <w:divBdr>
        <w:top w:val="none" w:sz="0" w:space="0" w:color="auto"/>
        <w:left w:val="none" w:sz="0" w:space="0" w:color="auto"/>
        <w:bottom w:val="none" w:sz="0" w:space="0" w:color="auto"/>
        <w:right w:val="none" w:sz="0" w:space="0" w:color="auto"/>
      </w:divBdr>
      <w:divsChild>
        <w:div w:id="160436177">
          <w:marLeft w:val="0"/>
          <w:marRight w:val="0"/>
          <w:marTop w:val="0"/>
          <w:marBottom w:val="0"/>
          <w:divBdr>
            <w:top w:val="none" w:sz="0" w:space="0" w:color="auto"/>
            <w:left w:val="none" w:sz="0" w:space="0" w:color="auto"/>
            <w:bottom w:val="none" w:sz="0" w:space="0" w:color="auto"/>
            <w:right w:val="none" w:sz="0" w:space="0" w:color="auto"/>
          </w:divBdr>
        </w:div>
        <w:div w:id="2053188187">
          <w:marLeft w:val="0"/>
          <w:marRight w:val="0"/>
          <w:marTop w:val="0"/>
          <w:marBottom w:val="0"/>
          <w:divBdr>
            <w:top w:val="none" w:sz="0" w:space="0" w:color="auto"/>
            <w:left w:val="none" w:sz="0" w:space="0" w:color="auto"/>
            <w:bottom w:val="none" w:sz="0" w:space="0" w:color="auto"/>
            <w:right w:val="none" w:sz="0" w:space="0" w:color="auto"/>
          </w:divBdr>
          <w:divsChild>
            <w:div w:id="1188448455">
              <w:marLeft w:val="0"/>
              <w:marRight w:val="0"/>
              <w:marTop w:val="0"/>
              <w:marBottom w:val="0"/>
              <w:divBdr>
                <w:top w:val="none" w:sz="0" w:space="0" w:color="auto"/>
                <w:left w:val="none" w:sz="0" w:space="0" w:color="auto"/>
                <w:bottom w:val="none" w:sz="0" w:space="0" w:color="auto"/>
                <w:right w:val="none" w:sz="0" w:space="0" w:color="auto"/>
              </w:divBdr>
            </w:div>
            <w:div w:id="631447092">
              <w:marLeft w:val="0"/>
              <w:marRight w:val="0"/>
              <w:marTop w:val="0"/>
              <w:marBottom w:val="0"/>
              <w:divBdr>
                <w:top w:val="none" w:sz="0" w:space="0" w:color="auto"/>
                <w:left w:val="none" w:sz="0" w:space="0" w:color="auto"/>
                <w:bottom w:val="none" w:sz="0" w:space="0" w:color="auto"/>
                <w:right w:val="none" w:sz="0" w:space="0" w:color="auto"/>
              </w:divBdr>
            </w:div>
            <w:div w:id="1241597800">
              <w:marLeft w:val="0"/>
              <w:marRight w:val="0"/>
              <w:marTop w:val="0"/>
              <w:marBottom w:val="0"/>
              <w:divBdr>
                <w:top w:val="none" w:sz="0" w:space="0" w:color="auto"/>
                <w:left w:val="none" w:sz="0" w:space="0" w:color="auto"/>
                <w:bottom w:val="none" w:sz="0" w:space="0" w:color="auto"/>
                <w:right w:val="none" w:sz="0" w:space="0" w:color="auto"/>
              </w:divBdr>
            </w:div>
          </w:divsChild>
        </w:div>
        <w:div w:id="1555002455">
          <w:marLeft w:val="0"/>
          <w:marRight w:val="0"/>
          <w:marTop w:val="0"/>
          <w:marBottom w:val="0"/>
          <w:divBdr>
            <w:top w:val="none" w:sz="0" w:space="0" w:color="auto"/>
            <w:left w:val="none" w:sz="0" w:space="0" w:color="auto"/>
            <w:bottom w:val="none" w:sz="0" w:space="0" w:color="auto"/>
            <w:right w:val="none" w:sz="0" w:space="0" w:color="auto"/>
          </w:divBdr>
          <w:divsChild>
            <w:div w:id="2127117987">
              <w:marLeft w:val="0"/>
              <w:marRight w:val="0"/>
              <w:marTop w:val="0"/>
              <w:marBottom w:val="0"/>
              <w:divBdr>
                <w:top w:val="none" w:sz="0" w:space="0" w:color="auto"/>
                <w:left w:val="none" w:sz="0" w:space="0" w:color="auto"/>
                <w:bottom w:val="none" w:sz="0" w:space="0" w:color="auto"/>
                <w:right w:val="none" w:sz="0" w:space="0" w:color="auto"/>
              </w:divBdr>
            </w:div>
            <w:div w:id="342517191">
              <w:marLeft w:val="0"/>
              <w:marRight w:val="0"/>
              <w:marTop w:val="0"/>
              <w:marBottom w:val="0"/>
              <w:divBdr>
                <w:top w:val="none" w:sz="0" w:space="0" w:color="auto"/>
                <w:left w:val="none" w:sz="0" w:space="0" w:color="auto"/>
                <w:bottom w:val="none" w:sz="0" w:space="0" w:color="auto"/>
                <w:right w:val="none" w:sz="0" w:space="0" w:color="auto"/>
              </w:divBdr>
            </w:div>
            <w:div w:id="680736727">
              <w:marLeft w:val="0"/>
              <w:marRight w:val="0"/>
              <w:marTop w:val="0"/>
              <w:marBottom w:val="0"/>
              <w:divBdr>
                <w:top w:val="none" w:sz="0" w:space="0" w:color="auto"/>
                <w:left w:val="none" w:sz="0" w:space="0" w:color="auto"/>
                <w:bottom w:val="none" w:sz="0" w:space="0" w:color="auto"/>
                <w:right w:val="none" w:sz="0" w:space="0" w:color="auto"/>
              </w:divBdr>
            </w:div>
          </w:divsChild>
        </w:div>
        <w:div w:id="1581868567">
          <w:marLeft w:val="0"/>
          <w:marRight w:val="0"/>
          <w:marTop w:val="0"/>
          <w:marBottom w:val="0"/>
          <w:divBdr>
            <w:top w:val="none" w:sz="0" w:space="0" w:color="auto"/>
            <w:left w:val="none" w:sz="0" w:space="0" w:color="auto"/>
            <w:bottom w:val="none" w:sz="0" w:space="0" w:color="auto"/>
            <w:right w:val="none" w:sz="0" w:space="0" w:color="auto"/>
          </w:divBdr>
          <w:divsChild>
            <w:div w:id="1739933670">
              <w:marLeft w:val="0"/>
              <w:marRight w:val="0"/>
              <w:marTop w:val="0"/>
              <w:marBottom w:val="0"/>
              <w:divBdr>
                <w:top w:val="none" w:sz="0" w:space="0" w:color="auto"/>
                <w:left w:val="none" w:sz="0" w:space="0" w:color="auto"/>
                <w:bottom w:val="none" w:sz="0" w:space="0" w:color="auto"/>
                <w:right w:val="none" w:sz="0" w:space="0" w:color="auto"/>
              </w:divBdr>
            </w:div>
            <w:div w:id="1822962191">
              <w:marLeft w:val="0"/>
              <w:marRight w:val="0"/>
              <w:marTop w:val="0"/>
              <w:marBottom w:val="0"/>
              <w:divBdr>
                <w:top w:val="none" w:sz="0" w:space="0" w:color="auto"/>
                <w:left w:val="none" w:sz="0" w:space="0" w:color="auto"/>
                <w:bottom w:val="none" w:sz="0" w:space="0" w:color="auto"/>
                <w:right w:val="none" w:sz="0" w:space="0" w:color="auto"/>
              </w:divBdr>
            </w:div>
            <w:div w:id="2003702941">
              <w:marLeft w:val="0"/>
              <w:marRight w:val="0"/>
              <w:marTop w:val="0"/>
              <w:marBottom w:val="0"/>
              <w:divBdr>
                <w:top w:val="none" w:sz="0" w:space="0" w:color="auto"/>
                <w:left w:val="none" w:sz="0" w:space="0" w:color="auto"/>
                <w:bottom w:val="none" w:sz="0" w:space="0" w:color="auto"/>
                <w:right w:val="none" w:sz="0" w:space="0" w:color="auto"/>
              </w:divBdr>
            </w:div>
          </w:divsChild>
        </w:div>
        <w:div w:id="1101143925">
          <w:marLeft w:val="0"/>
          <w:marRight w:val="0"/>
          <w:marTop w:val="0"/>
          <w:marBottom w:val="0"/>
          <w:divBdr>
            <w:top w:val="none" w:sz="0" w:space="0" w:color="auto"/>
            <w:left w:val="none" w:sz="0" w:space="0" w:color="auto"/>
            <w:bottom w:val="none" w:sz="0" w:space="0" w:color="auto"/>
            <w:right w:val="none" w:sz="0" w:space="0" w:color="auto"/>
          </w:divBdr>
          <w:divsChild>
            <w:div w:id="821849024">
              <w:marLeft w:val="0"/>
              <w:marRight w:val="0"/>
              <w:marTop w:val="0"/>
              <w:marBottom w:val="0"/>
              <w:divBdr>
                <w:top w:val="none" w:sz="0" w:space="0" w:color="auto"/>
                <w:left w:val="none" w:sz="0" w:space="0" w:color="auto"/>
                <w:bottom w:val="none" w:sz="0" w:space="0" w:color="auto"/>
                <w:right w:val="none" w:sz="0" w:space="0" w:color="auto"/>
              </w:divBdr>
            </w:div>
            <w:div w:id="1168907654">
              <w:marLeft w:val="0"/>
              <w:marRight w:val="0"/>
              <w:marTop w:val="0"/>
              <w:marBottom w:val="0"/>
              <w:divBdr>
                <w:top w:val="none" w:sz="0" w:space="0" w:color="auto"/>
                <w:left w:val="none" w:sz="0" w:space="0" w:color="auto"/>
                <w:bottom w:val="none" w:sz="0" w:space="0" w:color="auto"/>
                <w:right w:val="none" w:sz="0" w:space="0" w:color="auto"/>
              </w:divBdr>
            </w:div>
            <w:div w:id="635255050">
              <w:marLeft w:val="0"/>
              <w:marRight w:val="0"/>
              <w:marTop w:val="0"/>
              <w:marBottom w:val="0"/>
              <w:divBdr>
                <w:top w:val="none" w:sz="0" w:space="0" w:color="auto"/>
                <w:left w:val="none" w:sz="0" w:space="0" w:color="auto"/>
                <w:bottom w:val="none" w:sz="0" w:space="0" w:color="auto"/>
                <w:right w:val="none" w:sz="0" w:space="0" w:color="auto"/>
              </w:divBdr>
            </w:div>
          </w:divsChild>
        </w:div>
        <w:div w:id="282687725">
          <w:marLeft w:val="0"/>
          <w:marRight w:val="0"/>
          <w:marTop w:val="0"/>
          <w:marBottom w:val="0"/>
          <w:divBdr>
            <w:top w:val="none" w:sz="0" w:space="0" w:color="auto"/>
            <w:left w:val="none" w:sz="0" w:space="0" w:color="auto"/>
            <w:bottom w:val="none" w:sz="0" w:space="0" w:color="auto"/>
            <w:right w:val="none" w:sz="0" w:space="0" w:color="auto"/>
          </w:divBdr>
          <w:divsChild>
            <w:div w:id="1352683894">
              <w:marLeft w:val="0"/>
              <w:marRight w:val="0"/>
              <w:marTop w:val="0"/>
              <w:marBottom w:val="0"/>
              <w:divBdr>
                <w:top w:val="none" w:sz="0" w:space="0" w:color="auto"/>
                <w:left w:val="none" w:sz="0" w:space="0" w:color="auto"/>
                <w:bottom w:val="none" w:sz="0" w:space="0" w:color="auto"/>
                <w:right w:val="none" w:sz="0" w:space="0" w:color="auto"/>
              </w:divBdr>
            </w:div>
            <w:div w:id="910503464">
              <w:marLeft w:val="0"/>
              <w:marRight w:val="0"/>
              <w:marTop w:val="0"/>
              <w:marBottom w:val="0"/>
              <w:divBdr>
                <w:top w:val="none" w:sz="0" w:space="0" w:color="auto"/>
                <w:left w:val="none" w:sz="0" w:space="0" w:color="auto"/>
                <w:bottom w:val="none" w:sz="0" w:space="0" w:color="auto"/>
                <w:right w:val="none" w:sz="0" w:space="0" w:color="auto"/>
              </w:divBdr>
            </w:div>
            <w:div w:id="1432699669">
              <w:marLeft w:val="0"/>
              <w:marRight w:val="0"/>
              <w:marTop w:val="0"/>
              <w:marBottom w:val="0"/>
              <w:divBdr>
                <w:top w:val="none" w:sz="0" w:space="0" w:color="auto"/>
                <w:left w:val="none" w:sz="0" w:space="0" w:color="auto"/>
                <w:bottom w:val="none" w:sz="0" w:space="0" w:color="auto"/>
                <w:right w:val="none" w:sz="0" w:space="0" w:color="auto"/>
              </w:divBdr>
            </w:div>
          </w:divsChild>
        </w:div>
        <w:div w:id="1312952739">
          <w:marLeft w:val="0"/>
          <w:marRight w:val="0"/>
          <w:marTop w:val="0"/>
          <w:marBottom w:val="0"/>
          <w:divBdr>
            <w:top w:val="none" w:sz="0" w:space="0" w:color="auto"/>
            <w:left w:val="none" w:sz="0" w:space="0" w:color="auto"/>
            <w:bottom w:val="none" w:sz="0" w:space="0" w:color="auto"/>
            <w:right w:val="none" w:sz="0" w:space="0" w:color="auto"/>
          </w:divBdr>
          <w:divsChild>
            <w:div w:id="1470130344">
              <w:marLeft w:val="0"/>
              <w:marRight w:val="0"/>
              <w:marTop w:val="0"/>
              <w:marBottom w:val="0"/>
              <w:divBdr>
                <w:top w:val="none" w:sz="0" w:space="0" w:color="auto"/>
                <w:left w:val="none" w:sz="0" w:space="0" w:color="auto"/>
                <w:bottom w:val="none" w:sz="0" w:space="0" w:color="auto"/>
                <w:right w:val="none" w:sz="0" w:space="0" w:color="auto"/>
              </w:divBdr>
            </w:div>
            <w:div w:id="766772478">
              <w:marLeft w:val="0"/>
              <w:marRight w:val="0"/>
              <w:marTop w:val="0"/>
              <w:marBottom w:val="0"/>
              <w:divBdr>
                <w:top w:val="none" w:sz="0" w:space="0" w:color="auto"/>
                <w:left w:val="none" w:sz="0" w:space="0" w:color="auto"/>
                <w:bottom w:val="none" w:sz="0" w:space="0" w:color="auto"/>
                <w:right w:val="none" w:sz="0" w:space="0" w:color="auto"/>
              </w:divBdr>
            </w:div>
            <w:div w:id="175314587">
              <w:marLeft w:val="0"/>
              <w:marRight w:val="0"/>
              <w:marTop w:val="0"/>
              <w:marBottom w:val="0"/>
              <w:divBdr>
                <w:top w:val="none" w:sz="0" w:space="0" w:color="auto"/>
                <w:left w:val="none" w:sz="0" w:space="0" w:color="auto"/>
                <w:bottom w:val="none" w:sz="0" w:space="0" w:color="auto"/>
                <w:right w:val="none" w:sz="0" w:space="0" w:color="auto"/>
              </w:divBdr>
            </w:div>
          </w:divsChild>
        </w:div>
        <w:div w:id="1088699541">
          <w:marLeft w:val="0"/>
          <w:marRight w:val="0"/>
          <w:marTop w:val="0"/>
          <w:marBottom w:val="0"/>
          <w:divBdr>
            <w:top w:val="none" w:sz="0" w:space="0" w:color="auto"/>
            <w:left w:val="none" w:sz="0" w:space="0" w:color="auto"/>
            <w:bottom w:val="none" w:sz="0" w:space="0" w:color="auto"/>
            <w:right w:val="none" w:sz="0" w:space="0" w:color="auto"/>
          </w:divBdr>
          <w:divsChild>
            <w:div w:id="675419790">
              <w:marLeft w:val="0"/>
              <w:marRight w:val="0"/>
              <w:marTop w:val="0"/>
              <w:marBottom w:val="0"/>
              <w:divBdr>
                <w:top w:val="none" w:sz="0" w:space="0" w:color="auto"/>
                <w:left w:val="none" w:sz="0" w:space="0" w:color="auto"/>
                <w:bottom w:val="none" w:sz="0" w:space="0" w:color="auto"/>
                <w:right w:val="none" w:sz="0" w:space="0" w:color="auto"/>
              </w:divBdr>
            </w:div>
            <w:div w:id="1527063735">
              <w:marLeft w:val="0"/>
              <w:marRight w:val="0"/>
              <w:marTop w:val="0"/>
              <w:marBottom w:val="0"/>
              <w:divBdr>
                <w:top w:val="none" w:sz="0" w:space="0" w:color="auto"/>
                <w:left w:val="none" w:sz="0" w:space="0" w:color="auto"/>
                <w:bottom w:val="none" w:sz="0" w:space="0" w:color="auto"/>
                <w:right w:val="none" w:sz="0" w:space="0" w:color="auto"/>
              </w:divBdr>
            </w:div>
            <w:div w:id="507909700">
              <w:marLeft w:val="0"/>
              <w:marRight w:val="0"/>
              <w:marTop w:val="0"/>
              <w:marBottom w:val="0"/>
              <w:divBdr>
                <w:top w:val="none" w:sz="0" w:space="0" w:color="auto"/>
                <w:left w:val="none" w:sz="0" w:space="0" w:color="auto"/>
                <w:bottom w:val="none" w:sz="0" w:space="0" w:color="auto"/>
                <w:right w:val="none" w:sz="0" w:space="0" w:color="auto"/>
              </w:divBdr>
            </w:div>
          </w:divsChild>
        </w:div>
        <w:div w:id="337470321">
          <w:marLeft w:val="0"/>
          <w:marRight w:val="0"/>
          <w:marTop w:val="0"/>
          <w:marBottom w:val="0"/>
          <w:divBdr>
            <w:top w:val="none" w:sz="0" w:space="0" w:color="auto"/>
            <w:left w:val="none" w:sz="0" w:space="0" w:color="auto"/>
            <w:bottom w:val="none" w:sz="0" w:space="0" w:color="auto"/>
            <w:right w:val="none" w:sz="0" w:space="0" w:color="auto"/>
          </w:divBdr>
          <w:divsChild>
            <w:div w:id="1031498045">
              <w:marLeft w:val="0"/>
              <w:marRight w:val="0"/>
              <w:marTop w:val="0"/>
              <w:marBottom w:val="0"/>
              <w:divBdr>
                <w:top w:val="none" w:sz="0" w:space="0" w:color="auto"/>
                <w:left w:val="none" w:sz="0" w:space="0" w:color="auto"/>
                <w:bottom w:val="none" w:sz="0" w:space="0" w:color="auto"/>
                <w:right w:val="none" w:sz="0" w:space="0" w:color="auto"/>
              </w:divBdr>
            </w:div>
            <w:div w:id="1632593313">
              <w:marLeft w:val="0"/>
              <w:marRight w:val="0"/>
              <w:marTop w:val="0"/>
              <w:marBottom w:val="0"/>
              <w:divBdr>
                <w:top w:val="none" w:sz="0" w:space="0" w:color="auto"/>
                <w:left w:val="none" w:sz="0" w:space="0" w:color="auto"/>
                <w:bottom w:val="none" w:sz="0" w:space="0" w:color="auto"/>
                <w:right w:val="none" w:sz="0" w:space="0" w:color="auto"/>
              </w:divBdr>
            </w:div>
            <w:div w:id="113251720">
              <w:marLeft w:val="0"/>
              <w:marRight w:val="0"/>
              <w:marTop w:val="0"/>
              <w:marBottom w:val="0"/>
              <w:divBdr>
                <w:top w:val="none" w:sz="0" w:space="0" w:color="auto"/>
                <w:left w:val="none" w:sz="0" w:space="0" w:color="auto"/>
                <w:bottom w:val="none" w:sz="0" w:space="0" w:color="auto"/>
                <w:right w:val="none" w:sz="0" w:space="0" w:color="auto"/>
              </w:divBdr>
            </w:div>
          </w:divsChild>
        </w:div>
        <w:div w:id="1314993731">
          <w:marLeft w:val="0"/>
          <w:marRight w:val="0"/>
          <w:marTop w:val="0"/>
          <w:marBottom w:val="0"/>
          <w:divBdr>
            <w:top w:val="none" w:sz="0" w:space="0" w:color="auto"/>
            <w:left w:val="none" w:sz="0" w:space="0" w:color="auto"/>
            <w:bottom w:val="none" w:sz="0" w:space="0" w:color="auto"/>
            <w:right w:val="none" w:sz="0" w:space="0" w:color="auto"/>
          </w:divBdr>
          <w:divsChild>
            <w:div w:id="2066491944">
              <w:marLeft w:val="0"/>
              <w:marRight w:val="0"/>
              <w:marTop w:val="0"/>
              <w:marBottom w:val="0"/>
              <w:divBdr>
                <w:top w:val="none" w:sz="0" w:space="0" w:color="auto"/>
                <w:left w:val="none" w:sz="0" w:space="0" w:color="auto"/>
                <w:bottom w:val="none" w:sz="0" w:space="0" w:color="auto"/>
                <w:right w:val="none" w:sz="0" w:space="0" w:color="auto"/>
              </w:divBdr>
            </w:div>
            <w:div w:id="1410274357">
              <w:marLeft w:val="0"/>
              <w:marRight w:val="0"/>
              <w:marTop w:val="0"/>
              <w:marBottom w:val="0"/>
              <w:divBdr>
                <w:top w:val="none" w:sz="0" w:space="0" w:color="auto"/>
                <w:left w:val="none" w:sz="0" w:space="0" w:color="auto"/>
                <w:bottom w:val="none" w:sz="0" w:space="0" w:color="auto"/>
                <w:right w:val="none" w:sz="0" w:space="0" w:color="auto"/>
              </w:divBdr>
            </w:div>
            <w:div w:id="1002011402">
              <w:marLeft w:val="0"/>
              <w:marRight w:val="0"/>
              <w:marTop w:val="0"/>
              <w:marBottom w:val="0"/>
              <w:divBdr>
                <w:top w:val="none" w:sz="0" w:space="0" w:color="auto"/>
                <w:left w:val="none" w:sz="0" w:space="0" w:color="auto"/>
                <w:bottom w:val="none" w:sz="0" w:space="0" w:color="auto"/>
                <w:right w:val="none" w:sz="0" w:space="0" w:color="auto"/>
              </w:divBdr>
            </w:div>
          </w:divsChild>
        </w:div>
        <w:div w:id="243884469">
          <w:marLeft w:val="0"/>
          <w:marRight w:val="0"/>
          <w:marTop w:val="0"/>
          <w:marBottom w:val="0"/>
          <w:divBdr>
            <w:top w:val="none" w:sz="0" w:space="0" w:color="auto"/>
            <w:left w:val="none" w:sz="0" w:space="0" w:color="auto"/>
            <w:bottom w:val="none" w:sz="0" w:space="0" w:color="auto"/>
            <w:right w:val="none" w:sz="0" w:space="0" w:color="auto"/>
          </w:divBdr>
          <w:divsChild>
            <w:div w:id="981691793">
              <w:marLeft w:val="0"/>
              <w:marRight w:val="0"/>
              <w:marTop w:val="0"/>
              <w:marBottom w:val="0"/>
              <w:divBdr>
                <w:top w:val="none" w:sz="0" w:space="0" w:color="auto"/>
                <w:left w:val="none" w:sz="0" w:space="0" w:color="auto"/>
                <w:bottom w:val="none" w:sz="0" w:space="0" w:color="auto"/>
                <w:right w:val="none" w:sz="0" w:space="0" w:color="auto"/>
              </w:divBdr>
            </w:div>
            <w:div w:id="1879394363">
              <w:marLeft w:val="0"/>
              <w:marRight w:val="0"/>
              <w:marTop w:val="0"/>
              <w:marBottom w:val="0"/>
              <w:divBdr>
                <w:top w:val="none" w:sz="0" w:space="0" w:color="auto"/>
                <w:left w:val="none" w:sz="0" w:space="0" w:color="auto"/>
                <w:bottom w:val="none" w:sz="0" w:space="0" w:color="auto"/>
                <w:right w:val="none" w:sz="0" w:space="0" w:color="auto"/>
              </w:divBdr>
            </w:div>
            <w:div w:id="394548350">
              <w:marLeft w:val="0"/>
              <w:marRight w:val="0"/>
              <w:marTop w:val="0"/>
              <w:marBottom w:val="0"/>
              <w:divBdr>
                <w:top w:val="none" w:sz="0" w:space="0" w:color="auto"/>
                <w:left w:val="none" w:sz="0" w:space="0" w:color="auto"/>
                <w:bottom w:val="none" w:sz="0" w:space="0" w:color="auto"/>
                <w:right w:val="none" w:sz="0" w:space="0" w:color="auto"/>
              </w:divBdr>
            </w:div>
          </w:divsChild>
        </w:div>
        <w:div w:id="1092317670">
          <w:marLeft w:val="0"/>
          <w:marRight w:val="0"/>
          <w:marTop w:val="0"/>
          <w:marBottom w:val="0"/>
          <w:divBdr>
            <w:top w:val="none" w:sz="0" w:space="0" w:color="auto"/>
            <w:left w:val="none" w:sz="0" w:space="0" w:color="auto"/>
            <w:bottom w:val="none" w:sz="0" w:space="0" w:color="auto"/>
            <w:right w:val="none" w:sz="0" w:space="0" w:color="auto"/>
          </w:divBdr>
          <w:divsChild>
            <w:div w:id="42561655">
              <w:marLeft w:val="0"/>
              <w:marRight w:val="0"/>
              <w:marTop w:val="0"/>
              <w:marBottom w:val="0"/>
              <w:divBdr>
                <w:top w:val="none" w:sz="0" w:space="0" w:color="auto"/>
                <w:left w:val="none" w:sz="0" w:space="0" w:color="auto"/>
                <w:bottom w:val="none" w:sz="0" w:space="0" w:color="auto"/>
                <w:right w:val="none" w:sz="0" w:space="0" w:color="auto"/>
              </w:divBdr>
            </w:div>
            <w:div w:id="490026431">
              <w:marLeft w:val="0"/>
              <w:marRight w:val="0"/>
              <w:marTop w:val="0"/>
              <w:marBottom w:val="0"/>
              <w:divBdr>
                <w:top w:val="none" w:sz="0" w:space="0" w:color="auto"/>
                <w:left w:val="none" w:sz="0" w:space="0" w:color="auto"/>
                <w:bottom w:val="none" w:sz="0" w:space="0" w:color="auto"/>
                <w:right w:val="none" w:sz="0" w:space="0" w:color="auto"/>
              </w:divBdr>
            </w:div>
            <w:div w:id="1975325756">
              <w:marLeft w:val="0"/>
              <w:marRight w:val="0"/>
              <w:marTop w:val="0"/>
              <w:marBottom w:val="0"/>
              <w:divBdr>
                <w:top w:val="none" w:sz="0" w:space="0" w:color="auto"/>
                <w:left w:val="none" w:sz="0" w:space="0" w:color="auto"/>
                <w:bottom w:val="none" w:sz="0" w:space="0" w:color="auto"/>
                <w:right w:val="none" w:sz="0" w:space="0" w:color="auto"/>
              </w:divBdr>
            </w:div>
          </w:divsChild>
        </w:div>
        <w:div w:id="2021735643">
          <w:marLeft w:val="0"/>
          <w:marRight w:val="0"/>
          <w:marTop w:val="0"/>
          <w:marBottom w:val="0"/>
          <w:divBdr>
            <w:top w:val="none" w:sz="0" w:space="0" w:color="auto"/>
            <w:left w:val="none" w:sz="0" w:space="0" w:color="auto"/>
            <w:bottom w:val="none" w:sz="0" w:space="0" w:color="auto"/>
            <w:right w:val="none" w:sz="0" w:space="0" w:color="auto"/>
          </w:divBdr>
          <w:divsChild>
            <w:div w:id="729886810">
              <w:marLeft w:val="0"/>
              <w:marRight w:val="0"/>
              <w:marTop w:val="0"/>
              <w:marBottom w:val="0"/>
              <w:divBdr>
                <w:top w:val="none" w:sz="0" w:space="0" w:color="auto"/>
                <w:left w:val="none" w:sz="0" w:space="0" w:color="auto"/>
                <w:bottom w:val="none" w:sz="0" w:space="0" w:color="auto"/>
                <w:right w:val="none" w:sz="0" w:space="0" w:color="auto"/>
              </w:divBdr>
            </w:div>
            <w:div w:id="276064278">
              <w:marLeft w:val="0"/>
              <w:marRight w:val="0"/>
              <w:marTop w:val="0"/>
              <w:marBottom w:val="0"/>
              <w:divBdr>
                <w:top w:val="none" w:sz="0" w:space="0" w:color="auto"/>
                <w:left w:val="none" w:sz="0" w:space="0" w:color="auto"/>
                <w:bottom w:val="none" w:sz="0" w:space="0" w:color="auto"/>
                <w:right w:val="none" w:sz="0" w:space="0" w:color="auto"/>
              </w:divBdr>
            </w:div>
            <w:div w:id="1293906962">
              <w:marLeft w:val="0"/>
              <w:marRight w:val="0"/>
              <w:marTop w:val="0"/>
              <w:marBottom w:val="0"/>
              <w:divBdr>
                <w:top w:val="none" w:sz="0" w:space="0" w:color="auto"/>
                <w:left w:val="none" w:sz="0" w:space="0" w:color="auto"/>
                <w:bottom w:val="none" w:sz="0" w:space="0" w:color="auto"/>
                <w:right w:val="none" w:sz="0" w:space="0" w:color="auto"/>
              </w:divBdr>
            </w:div>
          </w:divsChild>
        </w:div>
        <w:div w:id="2120370165">
          <w:marLeft w:val="0"/>
          <w:marRight w:val="0"/>
          <w:marTop w:val="0"/>
          <w:marBottom w:val="0"/>
          <w:divBdr>
            <w:top w:val="none" w:sz="0" w:space="0" w:color="auto"/>
            <w:left w:val="none" w:sz="0" w:space="0" w:color="auto"/>
            <w:bottom w:val="none" w:sz="0" w:space="0" w:color="auto"/>
            <w:right w:val="none" w:sz="0" w:space="0" w:color="auto"/>
          </w:divBdr>
          <w:divsChild>
            <w:div w:id="1171674354">
              <w:marLeft w:val="0"/>
              <w:marRight w:val="0"/>
              <w:marTop w:val="0"/>
              <w:marBottom w:val="0"/>
              <w:divBdr>
                <w:top w:val="none" w:sz="0" w:space="0" w:color="auto"/>
                <w:left w:val="none" w:sz="0" w:space="0" w:color="auto"/>
                <w:bottom w:val="none" w:sz="0" w:space="0" w:color="auto"/>
                <w:right w:val="none" w:sz="0" w:space="0" w:color="auto"/>
              </w:divBdr>
            </w:div>
            <w:div w:id="1564484212">
              <w:marLeft w:val="0"/>
              <w:marRight w:val="0"/>
              <w:marTop w:val="0"/>
              <w:marBottom w:val="0"/>
              <w:divBdr>
                <w:top w:val="none" w:sz="0" w:space="0" w:color="auto"/>
                <w:left w:val="none" w:sz="0" w:space="0" w:color="auto"/>
                <w:bottom w:val="none" w:sz="0" w:space="0" w:color="auto"/>
                <w:right w:val="none" w:sz="0" w:space="0" w:color="auto"/>
              </w:divBdr>
            </w:div>
            <w:div w:id="1612398062">
              <w:marLeft w:val="0"/>
              <w:marRight w:val="0"/>
              <w:marTop w:val="0"/>
              <w:marBottom w:val="0"/>
              <w:divBdr>
                <w:top w:val="none" w:sz="0" w:space="0" w:color="auto"/>
                <w:left w:val="none" w:sz="0" w:space="0" w:color="auto"/>
                <w:bottom w:val="none" w:sz="0" w:space="0" w:color="auto"/>
                <w:right w:val="none" w:sz="0" w:space="0" w:color="auto"/>
              </w:divBdr>
            </w:div>
          </w:divsChild>
        </w:div>
        <w:div w:id="254360358">
          <w:marLeft w:val="0"/>
          <w:marRight w:val="0"/>
          <w:marTop w:val="0"/>
          <w:marBottom w:val="0"/>
          <w:divBdr>
            <w:top w:val="none" w:sz="0" w:space="0" w:color="auto"/>
            <w:left w:val="none" w:sz="0" w:space="0" w:color="auto"/>
            <w:bottom w:val="none" w:sz="0" w:space="0" w:color="auto"/>
            <w:right w:val="none" w:sz="0" w:space="0" w:color="auto"/>
          </w:divBdr>
          <w:divsChild>
            <w:div w:id="587620753">
              <w:marLeft w:val="0"/>
              <w:marRight w:val="0"/>
              <w:marTop w:val="0"/>
              <w:marBottom w:val="0"/>
              <w:divBdr>
                <w:top w:val="none" w:sz="0" w:space="0" w:color="auto"/>
                <w:left w:val="none" w:sz="0" w:space="0" w:color="auto"/>
                <w:bottom w:val="none" w:sz="0" w:space="0" w:color="auto"/>
                <w:right w:val="none" w:sz="0" w:space="0" w:color="auto"/>
              </w:divBdr>
            </w:div>
            <w:div w:id="270625618">
              <w:marLeft w:val="0"/>
              <w:marRight w:val="0"/>
              <w:marTop w:val="0"/>
              <w:marBottom w:val="0"/>
              <w:divBdr>
                <w:top w:val="none" w:sz="0" w:space="0" w:color="auto"/>
                <w:left w:val="none" w:sz="0" w:space="0" w:color="auto"/>
                <w:bottom w:val="none" w:sz="0" w:space="0" w:color="auto"/>
                <w:right w:val="none" w:sz="0" w:space="0" w:color="auto"/>
              </w:divBdr>
            </w:div>
            <w:div w:id="1142773509">
              <w:marLeft w:val="0"/>
              <w:marRight w:val="0"/>
              <w:marTop w:val="0"/>
              <w:marBottom w:val="0"/>
              <w:divBdr>
                <w:top w:val="none" w:sz="0" w:space="0" w:color="auto"/>
                <w:left w:val="none" w:sz="0" w:space="0" w:color="auto"/>
                <w:bottom w:val="none" w:sz="0" w:space="0" w:color="auto"/>
                <w:right w:val="none" w:sz="0" w:space="0" w:color="auto"/>
              </w:divBdr>
            </w:div>
          </w:divsChild>
        </w:div>
        <w:div w:id="1938512815">
          <w:marLeft w:val="0"/>
          <w:marRight w:val="0"/>
          <w:marTop w:val="0"/>
          <w:marBottom w:val="0"/>
          <w:divBdr>
            <w:top w:val="none" w:sz="0" w:space="0" w:color="auto"/>
            <w:left w:val="none" w:sz="0" w:space="0" w:color="auto"/>
            <w:bottom w:val="none" w:sz="0" w:space="0" w:color="auto"/>
            <w:right w:val="none" w:sz="0" w:space="0" w:color="auto"/>
          </w:divBdr>
          <w:divsChild>
            <w:div w:id="714044239">
              <w:marLeft w:val="0"/>
              <w:marRight w:val="0"/>
              <w:marTop w:val="0"/>
              <w:marBottom w:val="0"/>
              <w:divBdr>
                <w:top w:val="none" w:sz="0" w:space="0" w:color="auto"/>
                <w:left w:val="none" w:sz="0" w:space="0" w:color="auto"/>
                <w:bottom w:val="none" w:sz="0" w:space="0" w:color="auto"/>
                <w:right w:val="none" w:sz="0" w:space="0" w:color="auto"/>
              </w:divBdr>
            </w:div>
            <w:div w:id="1197624241">
              <w:marLeft w:val="0"/>
              <w:marRight w:val="0"/>
              <w:marTop w:val="0"/>
              <w:marBottom w:val="0"/>
              <w:divBdr>
                <w:top w:val="none" w:sz="0" w:space="0" w:color="auto"/>
                <w:left w:val="none" w:sz="0" w:space="0" w:color="auto"/>
                <w:bottom w:val="none" w:sz="0" w:space="0" w:color="auto"/>
                <w:right w:val="none" w:sz="0" w:space="0" w:color="auto"/>
              </w:divBdr>
            </w:div>
            <w:div w:id="1763645221">
              <w:marLeft w:val="0"/>
              <w:marRight w:val="0"/>
              <w:marTop w:val="0"/>
              <w:marBottom w:val="0"/>
              <w:divBdr>
                <w:top w:val="none" w:sz="0" w:space="0" w:color="auto"/>
                <w:left w:val="none" w:sz="0" w:space="0" w:color="auto"/>
                <w:bottom w:val="none" w:sz="0" w:space="0" w:color="auto"/>
                <w:right w:val="none" w:sz="0" w:space="0" w:color="auto"/>
              </w:divBdr>
            </w:div>
          </w:divsChild>
        </w:div>
        <w:div w:id="1407722324">
          <w:marLeft w:val="0"/>
          <w:marRight w:val="0"/>
          <w:marTop w:val="0"/>
          <w:marBottom w:val="0"/>
          <w:divBdr>
            <w:top w:val="none" w:sz="0" w:space="0" w:color="auto"/>
            <w:left w:val="none" w:sz="0" w:space="0" w:color="auto"/>
            <w:bottom w:val="none" w:sz="0" w:space="0" w:color="auto"/>
            <w:right w:val="none" w:sz="0" w:space="0" w:color="auto"/>
          </w:divBdr>
          <w:divsChild>
            <w:div w:id="1894266074">
              <w:marLeft w:val="0"/>
              <w:marRight w:val="0"/>
              <w:marTop w:val="0"/>
              <w:marBottom w:val="0"/>
              <w:divBdr>
                <w:top w:val="none" w:sz="0" w:space="0" w:color="auto"/>
                <w:left w:val="none" w:sz="0" w:space="0" w:color="auto"/>
                <w:bottom w:val="none" w:sz="0" w:space="0" w:color="auto"/>
                <w:right w:val="none" w:sz="0" w:space="0" w:color="auto"/>
              </w:divBdr>
            </w:div>
            <w:div w:id="735007176">
              <w:marLeft w:val="0"/>
              <w:marRight w:val="0"/>
              <w:marTop w:val="0"/>
              <w:marBottom w:val="0"/>
              <w:divBdr>
                <w:top w:val="none" w:sz="0" w:space="0" w:color="auto"/>
                <w:left w:val="none" w:sz="0" w:space="0" w:color="auto"/>
                <w:bottom w:val="none" w:sz="0" w:space="0" w:color="auto"/>
                <w:right w:val="none" w:sz="0" w:space="0" w:color="auto"/>
              </w:divBdr>
            </w:div>
            <w:div w:id="257059182">
              <w:marLeft w:val="0"/>
              <w:marRight w:val="0"/>
              <w:marTop w:val="0"/>
              <w:marBottom w:val="0"/>
              <w:divBdr>
                <w:top w:val="none" w:sz="0" w:space="0" w:color="auto"/>
                <w:left w:val="none" w:sz="0" w:space="0" w:color="auto"/>
                <w:bottom w:val="none" w:sz="0" w:space="0" w:color="auto"/>
                <w:right w:val="none" w:sz="0" w:space="0" w:color="auto"/>
              </w:divBdr>
            </w:div>
          </w:divsChild>
        </w:div>
        <w:div w:id="174267066">
          <w:marLeft w:val="0"/>
          <w:marRight w:val="0"/>
          <w:marTop w:val="0"/>
          <w:marBottom w:val="0"/>
          <w:divBdr>
            <w:top w:val="none" w:sz="0" w:space="0" w:color="auto"/>
            <w:left w:val="none" w:sz="0" w:space="0" w:color="auto"/>
            <w:bottom w:val="none" w:sz="0" w:space="0" w:color="auto"/>
            <w:right w:val="none" w:sz="0" w:space="0" w:color="auto"/>
          </w:divBdr>
          <w:divsChild>
            <w:div w:id="1686706088">
              <w:marLeft w:val="0"/>
              <w:marRight w:val="0"/>
              <w:marTop w:val="0"/>
              <w:marBottom w:val="0"/>
              <w:divBdr>
                <w:top w:val="none" w:sz="0" w:space="0" w:color="auto"/>
                <w:left w:val="none" w:sz="0" w:space="0" w:color="auto"/>
                <w:bottom w:val="none" w:sz="0" w:space="0" w:color="auto"/>
                <w:right w:val="none" w:sz="0" w:space="0" w:color="auto"/>
              </w:divBdr>
            </w:div>
            <w:div w:id="339353852">
              <w:marLeft w:val="0"/>
              <w:marRight w:val="0"/>
              <w:marTop w:val="0"/>
              <w:marBottom w:val="0"/>
              <w:divBdr>
                <w:top w:val="none" w:sz="0" w:space="0" w:color="auto"/>
                <w:left w:val="none" w:sz="0" w:space="0" w:color="auto"/>
                <w:bottom w:val="none" w:sz="0" w:space="0" w:color="auto"/>
                <w:right w:val="none" w:sz="0" w:space="0" w:color="auto"/>
              </w:divBdr>
            </w:div>
            <w:div w:id="2004430621">
              <w:marLeft w:val="0"/>
              <w:marRight w:val="0"/>
              <w:marTop w:val="0"/>
              <w:marBottom w:val="0"/>
              <w:divBdr>
                <w:top w:val="none" w:sz="0" w:space="0" w:color="auto"/>
                <w:left w:val="none" w:sz="0" w:space="0" w:color="auto"/>
                <w:bottom w:val="none" w:sz="0" w:space="0" w:color="auto"/>
                <w:right w:val="none" w:sz="0" w:space="0" w:color="auto"/>
              </w:divBdr>
            </w:div>
          </w:divsChild>
        </w:div>
        <w:div w:id="1651977568">
          <w:marLeft w:val="0"/>
          <w:marRight w:val="0"/>
          <w:marTop w:val="0"/>
          <w:marBottom w:val="0"/>
          <w:divBdr>
            <w:top w:val="none" w:sz="0" w:space="0" w:color="auto"/>
            <w:left w:val="none" w:sz="0" w:space="0" w:color="auto"/>
            <w:bottom w:val="none" w:sz="0" w:space="0" w:color="auto"/>
            <w:right w:val="none" w:sz="0" w:space="0" w:color="auto"/>
          </w:divBdr>
          <w:divsChild>
            <w:div w:id="1418550107">
              <w:marLeft w:val="0"/>
              <w:marRight w:val="0"/>
              <w:marTop w:val="0"/>
              <w:marBottom w:val="0"/>
              <w:divBdr>
                <w:top w:val="none" w:sz="0" w:space="0" w:color="auto"/>
                <w:left w:val="none" w:sz="0" w:space="0" w:color="auto"/>
                <w:bottom w:val="none" w:sz="0" w:space="0" w:color="auto"/>
                <w:right w:val="none" w:sz="0" w:space="0" w:color="auto"/>
              </w:divBdr>
            </w:div>
            <w:div w:id="1440099154">
              <w:marLeft w:val="0"/>
              <w:marRight w:val="0"/>
              <w:marTop w:val="0"/>
              <w:marBottom w:val="0"/>
              <w:divBdr>
                <w:top w:val="none" w:sz="0" w:space="0" w:color="auto"/>
                <w:left w:val="none" w:sz="0" w:space="0" w:color="auto"/>
                <w:bottom w:val="none" w:sz="0" w:space="0" w:color="auto"/>
                <w:right w:val="none" w:sz="0" w:space="0" w:color="auto"/>
              </w:divBdr>
            </w:div>
            <w:div w:id="1832718353">
              <w:marLeft w:val="0"/>
              <w:marRight w:val="0"/>
              <w:marTop w:val="0"/>
              <w:marBottom w:val="0"/>
              <w:divBdr>
                <w:top w:val="none" w:sz="0" w:space="0" w:color="auto"/>
                <w:left w:val="none" w:sz="0" w:space="0" w:color="auto"/>
                <w:bottom w:val="none" w:sz="0" w:space="0" w:color="auto"/>
                <w:right w:val="none" w:sz="0" w:space="0" w:color="auto"/>
              </w:divBdr>
            </w:div>
          </w:divsChild>
        </w:div>
        <w:div w:id="892737502">
          <w:marLeft w:val="0"/>
          <w:marRight w:val="0"/>
          <w:marTop w:val="0"/>
          <w:marBottom w:val="0"/>
          <w:divBdr>
            <w:top w:val="none" w:sz="0" w:space="0" w:color="auto"/>
            <w:left w:val="none" w:sz="0" w:space="0" w:color="auto"/>
            <w:bottom w:val="none" w:sz="0" w:space="0" w:color="auto"/>
            <w:right w:val="none" w:sz="0" w:space="0" w:color="auto"/>
          </w:divBdr>
          <w:divsChild>
            <w:div w:id="1586452319">
              <w:marLeft w:val="0"/>
              <w:marRight w:val="0"/>
              <w:marTop w:val="0"/>
              <w:marBottom w:val="0"/>
              <w:divBdr>
                <w:top w:val="none" w:sz="0" w:space="0" w:color="auto"/>
                <w:left w:val="none" w:sz="0" w:space="0" w:color="auto"/>
                <w:bottom w:val="none" w:sz="0" w:space="0" w:color="auto"/>
                <w:right w:val="none" w:sz="0" w:space="0" w:color="auto"/>
              </w:divBdr>
            </w:div>
            <w:div w:id="65227646">
              <w:marLeft w:val="0"/>
              <w:marRight w:val="0"/>
              <w:marTop w:val="0"/>
              <w:marBottom w:val="0"/>
              <w:divBdr>
                <w:top w:val="none" w:sz="0" w:space="0" w:color="auto"/>
                <w:left w:val="none" w:sz="0" w:space="0" w:color="auto"/>
                <w:bottom w:val="none" w:sz="0" w:space="0" w:color="auto"/>
                <w:right w:val="none" w:sz="0" w:space="0" w:color="auto"/>
              </w:divBdr>
            </w:div>
            <w:div w:id="9263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388">
      <w:bodyDiv w:val="1"/>
      <w:marLeft w:val="0"/>
      <w:marRight w:val="0"/>
      <w:marTop w:val="0"/>
      <w:marBottom w:val="0"/>
      <w:divBdr>
        <w:top w:val="none" w:sz="0" w:space="0" w:color="auto"/>
        <w:left w:val="none" w:sz="0" w:space="0" w:color="auto"/>
        <w:bottom w:val="none" w:sz="0" w:space="0" w:color="auto"/>
        <w:right w:val="none" w:sz="0" w:space="0" w:color="auto"/>
      </w:divBdr>
      <w:divsChild>
        <w:div w:id="717121956">
          <w:marLeft w:val="0"/>
          <w:marRight w:val="0"/>
          <w:marTop w:val="0"/>
          <w:marBottom w:val="0"/>
          <w:divBdr>
            <w:top w:val="none" w:sz="0" w:space="0" w:color="auto"/>
            <w:left w:val="none" w:sz="0" w:space="0" w:color="auto"/>
            <w:bottom w:val="none" w:sz="0" w:space="0" w:color="auto"/>
            <w:right w:val="none" w:sz="0" w:space="0" w:color="auto"/>
          </w:divBdr>
        </w:div>
        <w:div w:id="195585163">
          <w:marLeft w:val="0"/>
          <w:marRight w:val="0"/>
          <w:marTop w:val="0"/>
          <w:marBottom w:val="0"/>
          <w:divBdr>
            <w:top w:val="none" w:sz="0" w:space="0" w:color="auto"/>
            <w:left w:val="none" w:sz="0" w:space="0" w:color="auto"/>
            <w:bottom w:val="none" w:sz="0" w:space="0" w:color="auto"/>
            <w:right w:val="none" w:sz="0" w:space="0" w:color="auto"/>
          </w:divBdr>
          <w:divsChild>
            <w:div w:id="1578636174">
              <w:marLeft w:val="0"/>
              <w:marRight w:val="0"/>
              <w:marTop w:val="0"/>
              <w:marBottom w:val="0"/>
              <w:divBdr>
                <w:top w:val="none" w:sz="0" w:space="0" w:color="auto"/>
                <w:left w:val="none" w:sz="0" w:space="0" w:color="auto"/>
                <w:bottom w:val="none" w:sz="0" w:space="0" w:color="auto"/>
                <w:right w:val="none" w:sz="0" w:space="0" w:color="auto"/>
              </w:divBdr>
            </w:div>
            <w:div w:id="1281456259">
              <w:marLeft w:val="0"/>
              <w:marRight w:val="0"/>
              <w:marTop w:val="0"/>
              <w:marBottom w:val="0"/>
              <w:divBdr>
                <w:top w:val="none" w:sz="0" w:space="0" w:color="auto"/>
                <w:left w:val="none" w:sz="0" w:space="0" w:color="auto"/>
                <w:bottom w:val="none" w:sz="0" w:space="0" w:color="auto"/>
                <w:right w:val="none" w:sz="0" w:space="0" w:color="auto"/>
              </w:divBdr>
            </w:div>
            <w:div w:id="1538814801">
              <w:marLeft w:val="0"/>
              <w:marRight w:val="0"/>
              <w:marTop w:val="0"/>
              <w:marBottom w:val="0"/>
              <w:divBdr>
                <w:top w:val="none" w:sz="0" w:space="0" w:color="auto"/>
                <w:left w:val="none" w:sz="0" w:space="0" w:color="auto"/>
                <w:bottom w:val="none" w:sz="0" w:space="0" w:color="auto"/>
                <w:right w:val="none" w:sz="0" w:space="0" w:color="auto"/>
              </w:divBdr>
            </w:div>
          </w:divsChild>
        </w:div>
        <w:div w:id="2011759056">
          <w:marLeft w:val="0"/>
          <w:marRight w:val="0"/>
          <w:marTop w:val="0"/>
          <w:marBottom w:val="0"/>
          <w:divBdr>
            <w:top w:val="none" w:sz="0" w:space="0" w:color="auto"/>
            <w:left w:val="none" w:sz="0" w:space="0" w:color="auto"/>
            <w:bottom w:val="none" w:sz="0" w:space="0" w:color="auto"/>
            <w:right w:val="none" w:sz="0" w:space="0" w:color="auto"/>
          </w:divBdr>
          <w:divsChild>
            <w:div w:id="1383168492">
              <w:marLeft w:val="0"/>
              <w:marRight w:val="0"/>
              <w:marTop w:val="0"/>
              <w:marBottom w:val="0"/>
              <w:divBdr>
                <w:top w:val="none" w:sz="0" w:space="0" w:color="auto"/>
                <w:left w:val="none" w:sz="0" w:space="0" w:color="auto"/>
                <w:bottom w:val="none" w:sz="0" w:space="0" w:color="auto"/>
                <w:right w:val="none" w:sz="0" w:space="0" w:color="auto"/>
              </w:divBdr>
            </w:div>
            <w:div w:id="219632772">
              <w:marLeft w:val="0"/>
              <w:marRight w:val="0"/>
              <w:marTop w:val="0"/>
              <w:marBottom w:val="0"/>
              <w:divBdr>
                <w:top w:val="none" w:sz="0" w:space="0" w:color="auto"/>
                <w:left w:val="none" w:sz="0" w:space="0" w:color="auto"/>
                <w:bottom w:val="none" w:sz="0" w:space="0" w:color="auto"/>
                <w:right w:val="none" w:sz="0" w:space="0" w:color="auto"/>
              </w:divBdr>
            </w:div>
            <w:div w:id="1552182603">
              <w:marLeft w:val="0"/>
              <w:marRight w:val="0"/>
              <w:marTop w:val="0"/>
              <w:marBottom w:val="0"/>
              <w:divBdr>
                <w:top w:val="none" w:sz="0" w:space="0" w:color="auto"/>
                <w:left w:val="none" w:sz="0" w:space="0" w:color="auto"/>
                <w:bottom w:val="none" w:sz="0" w:space="0" w:color="auto"/>
                <w:right w:val="none" w:sz="0" w:space="0" w:color="auto"/>
              </w:divBdr>
            </w:div>
          </w:divsChild>
        </w:div>
        <w:div w:id="25104750">
          <w:marLeft w:val="0"/>
          <w:marRight w:val="0"/>
          <w:marTop w:val="0"/>
          <w:marBottom w:val="0"/>
          <w:divBdr>
            <w:top w:val="none" w:sz="0" w:space="0" w:color="auto"/>
            <w:left w:val="none" w:sz="0" w:space="0" w:color="auto"/>
            <w:bottom w:val="none" w:sz="0" w:space="0" w:color="auto"/>
            <w:right w:val="none" w:sz="0" w:space="0" w:color="auto"/>
          </w:divBdr>
          <w:divsChild>
            <w:div w:id="564071638">
              <w:marLeft w:val="0"/>
              <w:marRight w:val="0"/>
              <w:marTop w:val="0"/>
              <w:marBottom w:val="0"/>
              <w:divBdr>
                <w:top w:val="none" w:sz="0" w:space="0" w:color="auto"/>
                <w:left w:val="none" w:sz="0" w:space="0" w:color="auto"/>
                <w:bottom w:val="none" w:sz="0" w:space="0" w:color="auto"/>
                <w:right w:val="none" w:sz="0" w:space="0" w:color="auto"/>
              </w:divBdr>
            </w:div>
            <w:div w:id="1898979201">
              <w:marLeft w:val="0"/>
              <w:marRight w:val="0"/>
              <w:marTop w:val="0"/>
              <w:marBottom w:val="0"/>
              <w:divBdr>
                <w:top w:val="none" w:sz="0" w:space="0" w:color="auto"/>
                <w:left w:val="none" w:sz="0" w:space="0" w:color="auto"/>
                <w:bottom w:val="none" w:sz="0" w:space="0" w:color="auto"/>
                <w:right w:val="none" w:sz="0" w:space="0" w:color="auto"/>
              </w:divBdr>
            </w:div>
            <w:div w:id="871848099">
              <w:marLeft w:val="0"/>
              <w:marRight w:val="0"/>
              <w:marTop w:val="0"/>
              <w:marBottom w:val="0"/>
              <w:divBdr>
                <w:top w:val="none" w:sz="0" w:space="0" w:color="auto"/>
                <w:left w:val="none" w:sz="0" w:space="0" w:color="auto"/>
                <w:bottom w:val="none" w:sz="0" w:space="0" w:color="auto"/>
                <w:right w:val="none" w:sz="0" w:space="0" w:color="auto"/>
              </w:divBdr>
            </w:div>
          </w:divsChild>
        </w:div>
        <w:div w:id="685835725">
          <w:marLeft w:val="0"/>
          <w:marRight w:val="0"/>
          <w:marTop w:val="0"/>
          <w:marBottom w:val="0"/>
          <w:divBdr>
            <w:top w:val="none" w:sz="0" w:space="0" w:color="auto"/>
            <w:left w:val="none" w:sz="0" w:space="0" w:color="auto"/>
            <w:bottom w:val="none" w:sz="0" w:space="0" w:color="auto"/>
            <w:right w:val="none" w:sz="0" w:space="0" w:color="auto"/>
          </w:divBdr>
          <w:divsChild>
            <w:div w:id="1075779604">
              <w:marLeft w:val="0"/>
              <w:marRight w:val="0"/>
              <w:marTop w:val="0"/>
              <w:marBottom w:val="0"/>
              <w:divBdr>
                <w:top w:val="none" w:sz="0" w:space="0" w:color="auto"/>
                <w:left w:val="none" w:sz="0" w:space="0" w:color="auto"/>
                <w:bottom w:val="none" w:sz="0" w:space="0" w:color="auto"/>
                <w:right w:val="none" w:sz="0" w:space="0" w:color="auto"/>
              </w:divBdr>
            </w:div>
            <w:div w:id="1496796190">
              <w:marLeft w:val="0"/>
              <w:marRight w:val="0"/>
              <w:marTop w:val="0"/>
              <w:marBottom w:val="0"/>
              <w:divBdr>
                <w:top w:val="none" w:sz="0" w:space="0" w:color="auto"/>
                <w:left w:val="none" w:sz="0" w:space="0" w:color="auto"/>
                <w:bottom w:val="none" w:sz="0" w:space="0" w:color="auto"/>
                <w:right w:val="none" w:sz="0" w:space="0" w:color="auto"/>
              </w:divBdr>
            </w:div>
            <w:div w:id="922181957">
              <w:marLeft w:val="0"/>
              <w:marRight w:val="0"/>
              <w:marTop w:val="0"/>
              <w:marBottom w:val="0"/>
              <w:divBdr>
                <w:top w:val="none" w:sz="0" w:space="0" w:color="auto"/>
                <w:left w:val="none" w:sz="0" w:space="0" w:color="auto"/>
                <w:bottom w:val="none" w:sz="0" w:space="0" w:color="auto"/>
                <w:right w:val="none" w:sz="0" w:space="0" w:color="auto"/>
              </w:divBdr>
            </w:div>
          </w:divsChild>
        </w:div>
        <w:div w:id="155923277">
          <w:marLeft w:val="0"/>
          <w:marRight w:val="0"/>
          <w:marTop w:val="0"/>
          <w:marBottom w:val="0"/>
          <w:divBdr>
            <w:top w:val="none" w:sz="0" w:space="0" w:color="auto"/>
            <w:left w:val="none" w:sz="0" w:space="0" w:color="auto"/>
            <w:bottom w:val="none" w:sz="0" w:space="0" w:color="auto"/>
            <w:right w:val="none" w:sz="0" w:space="0" w:color="auto"/>
          </w:divBdr>
          <w:divsChild>
            <w:div w:id="269902120">
              <w:marLeft w:val="0"/>
              <w:marRight w:val="0"/>
              <w:marTop w:val="0"/>
              <w:marBottom w:val="0"/>
              <w:divBdr>
                <w:top w:val="none" w:sz="0" w:space="0" w:color="auto"/>
                <w:left w:val="none" w:sz="0" w:space="0" w:color="auto"/>
                <w:bottom w:val="none" w:sz="0" w:space="0" w:color="auto"/>
                <w:right w:val="none" w:sz="0" w:space="0" w:color="auto"/>
              </w:divBdr>
            </w:div>
            <w:div w:id="1613826926">
              <w:marLeft w:val="0"/>
              <w:marRight w:val="0"/>
              <w:marTop w:val="0"/>
              <w:marBottom w:val="0"/>
              <w:divBdr>
                <w:top w:val="none" w:sz="0" w:space="0" w:color="auto"/>
                <w:left w:val="none" w:sz="0" w:space="0" w:color="auto"/>
                <w:bottom w:val="none" w:sz="0" w:space="0" w:color="auto"/>
                <w:right w:val="none" w:sz="0" w:space="0" w:color="auto"/>
              </w:divBdr>
            </w:div>
            <w:div w:id="365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52">
      <w:bodyDiv w:val="1"/>
      <w:marLeft w:val="0"/>
      <w:marRight w:val="0"/>
      <w:marTop w:val="0"/>
      <w:marBottom w:val="0"/>
      <w:divBdr>
        <w:top w:val="none" w:sz="0" w:space="0" w:color="auto"/>
        <w:left w:val="none" w:sz="0" w:space="0" w:color="auto"/>
        <w:bottom w:val="none" w:sz="0" w:space="0" w:color="auto"/>
        <w:right w:val="none" w:sz="0" w:space="0" w:color="auto"/>
      </w:divBdr>
      <w:divsChild>
        <w:div w:id="1557472451">
          <w:marLeft w:val="0"/>
          <w:marRight w:val="0"/>
          <w:marTop w:val="0"/>
          <w:marBottom w:val="0"/>
          <w:divBdr>
            <w:top w:val="none" w:sz="0" w:space="0" w:color="auto"/>
            <w:left w:val="none" w:sz="0" w:space="0" w:color="auto"/>
            <w:bottom w:val="none" w:sz="0" w:space="0" w:color="auto"/>
            <w:right w:val="none" w:sz="0" w:space="0" w:color="auto"/>
          </w:divBdr>
        </w:div>
        <w:div w:id="613094116">
          <w:marLeft w:val="0"/>
          <w:marRight w:val="0"/>
          <w:marTop w:val="0"/>
          <w:marBottom w:val="0"/>
          <w:divBdr>
            <w:top w:val="none" w:sz="0" w:space="0" w:color="auto"/>
            <w:left w:val="none" w:sz="0" w:space="0" w:color="auto"/>
            <w:bottom w:val="none" w:sz="0" w:space="0" w:color="auto"/>
            <w:right w:val="none" w:sz="0" w:space="0" w:color="auto"/>
          </w:divBdr>
        </w:div>
        <w:div w:id="927269043">
          <w:marLeft w:val="0"/>
          <w:marRight w:val="0"/>
          <w:marTop w:val="0"/>
          <w:marBottom w:val="0"/>
          <w:divBdr>
            <w:top w:val="none" w:sz="0" w:space="0" w:color="auto"/>
            <w:left w:val="none" w:sz="0" w:space="0" w:color="auto"/>
            <w:bottom w:val="none" w:sz="0" w:space="0" w:color="auto"/>
            <w:right w:val="none" w:sz="0" w:space="0" w:color="auto"/>
          </w:divBdr>
        </w:div>
      </w:divsChild>
    </w:div>
    <w:div w:id="1755979784">
      <w:bodyDiv w:val="1"/>
      <w:marLeft w:val="0"/>
      <w:marRight w:val="0"/>
      <w:marTop w:val="0"/>
      <w:marBottom w:val="0"/>
      <w:divBdr>
        <w:top w:val="none" w:sz="0" w:space="0" w:color="auto"/>
        <w:left w:val="none" w:sz="0" w:space="0" w:color="auto"/>
        <w:bottom w:val="none" w:sz="0" w:space="0" w:color="auto"/>
        <w:right w:val="none" w:sz="0" w:space="0" w:color="auto"/>
      </w:divBdr>
      <w:divsChild>
        <w:div w:id="757794052">
          <w:marLeft w:val="0"/>
          <w:marRight w:val="0"/>
          <w:marTop w:val="0"/>
          <w:marBottom w:val="0"/>
          <w:divBdr>
            <w:top w:val="none" w:sz="0" w:space="0" w:color="auto"/>
            <w:left w:val="none" w:sz="0" w:space="0" w:color="auto"/>
            <w:bottom w:val="none" w:sz="0" w:space="0" w:color="auto"/>
            <w:right w:val="none" w:sz="0" w:space="0" w:color="auto"/>
          </w:divBdr>
        </w:div>
        <w:div w:id="1275819670">
          <w:marLeft w:val="0"/>
          <w:marRight w:val="0"/>
          <w:marTop w:val="0"/>
          <w:marBottom w:val="0"/>
          <w:divBdr>
            <w:top w:val="none" w:sz="0" w:space="0" w:color="auto"/>
            <w:left w:val="none" w:sz="0" w:space="0" w:color="auto"/>
            <w:bottom w:val="none" w:sz="0" w:space="0" w:color="auto"/>
            <w:right w:val="none" w:sz="0" w:space="0" w:color="auto"/>
          </w:divBdr>
        </w:div>
        <w:div w:id="198395308">
          <w:marLeft w:val="0"/>
          <w:marRight w:val="0"/>
          <w:marTop w:val="0"/>
          <w:marBottom w:val="0"/>
          <w:divBdr>
            <w:top w:val="none" w:sz="0" w:space="0" w:color="auto"/>
            <w:left w:val="none" w:sz="0" w:space="0" w:color="auto"/>
            <w:bottom w:val="none" w:sz="0" w:space="0" w:color="auto"/>
            <w:right w:val="none" w:sz="0" w:space="0" w:color="auto"/>
          </w:divBdr>
        </w:div>
      </w:divsChild>
    </w:div>
    <w:div w:id="1885294210">
      <w:bodyDiv w:val="1"/>
      <w:marLeft w:val="0"/>
      <w:marRight w:val="0"/>
      <w:marTop w:val="0"/>
      <w:marBottom w:val="0"/>
      <w:divBdr>
        <w:top w:val="none" w:sz="0" w:space="0" w:color="auto"/>
        <w:left w:val="none" w:sz="0" w:space="0" w:color="auto"/>
        <w:bottom w:val="none" w:sz="0" w:space="0" w:color="auto"/>
        <w:right w:val="none" w:sz="0" w:space="0" w:color="auto"/>
      </w:divBdr>
      <w:divsChild>
        <w:div w:id="1184126749">
          <w:marLeft w:val="0"/>
          <w:marRight w:val="0"/>
          <w:marTop w:val="0"/>
          <w:marBottom w:val="0"/>
          <w:divBdr>
            <w:top w:val="none" w:sz="0" w:space="0" w:color="auto"/>
            <w:left w:val="none" w:sz="0" w:space="0" w:color="auto"/>
            <w:bottom w:val="none" w:sz="0" w:space="0" w:color="auto"/>
            <w:right w:val="none" w:sz="0" w:space="0" w:color="auto"/>
          </w:divBdr>
        </w:div>
        <w:div w:id="1192763941">
          <w:marLeft w:val="0"/>
          <w:marRight w:val="0"/>
          <w:marTop w:val="0"/>
          <w:marBottom w:val="0"/>
          <w:divBdr>
            <w:top w:val="none" w:sz="0" w:space="0" w:color="auto"/>
            <w:left w:val="none" w:sz="0" w:space="0" w:color="auto"/>
            <w:bottom w:val="none" w:sz="0" w:space="0" w:color="auto"/>
            <w:right w:val="none" w:sz="0" w:space="0" w:color="auto"/>
          </w:divBdr>
          <w:divsChild>
            <w:div w:id="580405274">
              <w:marLeft w:val="0"/>
              <w:marRight w:val="0"/>
              <w:marTop w:val="0"/>
              <w:marBottom w:val="0"/>
              <w:divBdr>
                <w:top w:val="none" w:sz="0" w:space="0" w:color="auto"/>
                <w:left w:val="none" w:sz="0" w:space="0" w:color="auto"/>
                <w:bottom w:val="none" w:sz="0" w:space="0" w:color="auto"/>
                <w:right w:val="none" w:sz="0" w:space="0" w:color="auto"/>
              </w:divBdr>
            </w:div>
            <w:div w:id="539439822">
              <w:marLeft w:val="0"/>
              <w:marRight w:val="0"/>
              <w:marTop w:val="0"/>
              <w:marBottom w:val="0"/>
              <w:divBdr>
                <w:top w:val="none" w:sz="0" w:space="0" w:color="auto"/>
                <w:left w:val="none" w:sz="0" w:space="0" w:color="auto"/>
                <w:bottom w:val="none" w:sz="0" w:space="0" w:color="auto"/>
                <w:right w:val="none" w:sz="0" w:space="0" w:color="auto"/>
              </w:divBdr>
            </w:div>
            <w:div w:id="5491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9419">
      <w:bodyDiv w:val="1"/>
      <w:marLeft w:val="0"/>
      <w:marRight w:val="0"/>
      <w:marTop w:val="0"/>
      <w:marBottom w:val="0"/>
      <w:divBdr>
        <w:top w:val="none" w:sz="0" w:space="0" w:color="auto"/>
        <w:left w:val="none" w:sz="0" w:space="0" w:color="auto"/>
        <w:bottom w:val="none" w:sz="0" w:space="0" w:color="auto"/>
        <w:right w:val="none" w:sz="0" w:space="0" w:color="auto"/>
      </w:divBdr>
      <w:divsChild>
        <w:div w:id="1838686996">
          <w:marLeft w:val="0"/>
          <w:marRight w:val="0"/>
          <w:marTop w:val="0"/>
          <w:marBottom w:val="0"/>
          <w:divBdr>
            <w:top w:val="none" w:sz="0" w:space="0" w:color="auto"/>
            <w:left w:val="none" w:sz="0" w:space="0" w:color="auto"/>
            <w:bottom w:val="none" w:sz="0" w:space="0" w:color="auto"/>
            <w:right w:val="none" w:sz="0" w:space="0" w:color="auto"/>
          </w:divBdr>
        </w:div>
        <w:div w:id="625700179">
          <w:marLeft w:val="0"/>
          <w:marRight w:val="0"/>
          <w:marTop w:val="0"/>
          <w:marBottom w:val="0"/>
          <w:divBdr>
            <w:top w:val="none" w:sz="0" w:space="0" w:color="auto"/>
            <w:left w:val="none" w:sz="0" w:space="0" w:color="auto"/>
            <w:bottom w:val="none" w:sz="0" w:space="0" w:color="auto"/>
            <w:right w:val="none" w:sz="0" w:space="0" w:color="auto"/>
          </w:divBdr>
          <w:divsChild>
            <w:div w:id="1190991813">
              <w:marLeft w:val="0"/>
              <w:marRight w:val="0"/>
              <w:marTop w:val="0"/>
              <w:marBottom w:val="0"/>
              <w:divBdr>
                <w:top w:val="none" w:sz="0" w:space="0" w:color="auto"/>
                <w:left w:val="none" w:sz="0" w:space="0" w:color="auto"/>
                <w:bottom w:val="none" w:sz="0" w:space="0" w:color="auto"/>
                <w:right w:val="none" w:sz="0" w:space="0" w:color="auto"/>
              </w:divBdr>
            </w:div>
            <w:div w:id="1744715584">
              <w:marLeft w:val="0"/>
              <w:marRight w:val="0"/>
              <w:marTop w:val="0"/>
              <w:marBottom w:val="0"/>
              <w:divBdr>
                <w:top w:val="none" w:sz="0" w:space="0" w:color="auto"/>
                <w:left w:val="none" w:sz="0" w:space="0" w:color="auto"/>
                <w:bottom w:val="none" w:sz="0" w:space="0" w:color="auto"/>
                <w:right w:val="none" w:sz="0" w:space="0" w:color="auto"/>
              </w:divBdr>
            </w:div>
            <w:div w:id="307174683">
              <w:marLeft w:val="0"/>
              <w:marRight w:val="0"/>
              <w:marTop w:val="0"/>
              <w:marBottom w:val="0"/>
              <w:divBdr>
                <w:top w:val="none" w:sz="0" w:space="0" w:color="auto"/>
                <w:left w:val="none" w:sz="0" w:space="0" w:color="auto"/>
                <w:bottom w:val="none" w:sz="0" w:space="0" w:color="auto"/>
                <w:right w:val="none" w:sz="0" w:space="0" w:color="auto"/>
              </w:divBdr>
            </w:div>
          </w:divsChild>
        </w:div>
        <w:div w:id="1980453983">
          <w:marLeft w:val="0"/>
          <w:marRight w:val="0"/>
          <w:marTop w:val="0"/>
          <w:marBottom w:val="0"/>
          <w:divBdr>
            <w:top w:val="none" w:sz="0" w:space="0" w:color="auto"/>
            <w:left w:val="none" w:sz="0" w:space="0" w:color="auto"/>
            <w:bottom w:val="none" w:sz="0" w:space="0" w:color="auto"/>
            <w:right w:val="none" w:sz="0" w:space="0" w:color="auto"/>
          </w:divBdr>
          <w:divsChild>
            <w:div w:id="645547451">
              <w:marLeft w:val="0"/>
              <w:marRight w:val="0"/>
              <w:marTop w:val="0"/>
              <w:marBottom w:val="0"/>
              <w:divBdr>
                <w:top w:val="none" w:sz="0" w:space="0" w:color="auto"/>
                <w:left w:val="none" w:sz="0" w:space="0" w:color="auto"/>
                <w:bottom w:val="none" w:sz="0" w:space="0" w:color="auto"/>
                <w:right w:val="none" w:sz="0" w:space="0" w:color="auto"/>
              </w:divBdr>
            </w:div>
            <w:div w:id="946619949">
              <w:marLeft w:val="0"/>
              <w:marRight w:val="0"/>
              <w:marTop w:val="0"/>
              <w:marBottom w:val="0"/>
              <w:divBdr>
                <w:top w:val="none" w:sz="0" w:space="0" w:color="auto"/>
                <w:left w:val="none" w:sz="0" w:space="0" w:color="auto"/>
                <w:bottom w:val="none" w:sz="0" w:space="0" w:color="auto"/>
                <w:right w:val="none" w:sz="0" w:space="0" w:color="auto"/>
              </w:divBdr>
            </w:div>
            <w:div w:id="99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2886">
      <w:bodyDiv w:val="1"/>
      <w:marLeft w:val="0"/>
      <w:marRight w:val="0"/>
      <w:marTop w:val="0"/>
      <w:marBottom w:val="0"/>
      <w:divBdr>
        <w:top w:val="none" w:sz="0" w:space="0" w:color="auto"/>
        <w:left w:val="none" w:sz="0" w:space="0" w:color="auto"/>
        <w:bottom w:val="none" w:sz="0" w:space="0" w:color="auto"/>
        <w:right w:val="none" w:sz="0" w:space="0" w:color="auto"/>
      </w:divBdr>
      <w:divsChild>
        <w:div w:id="945574719">
          <w:marLeft w:val="0"/>
          <w:marRight w:val="0"/>
          <w:marTop w:val="0"/>
          <w:marBottom w:val="0"/>
          <w:divBdr>
            <w:top w:val="none" w:sz="0" w:space="0" w:color="auto"/>
            <w:left w:val="none" w:sz="0" w:space="0" w:color="auto"/>
            <w:bottom w:val="none" w:sz="0" w:space="0" w:color="auto"/>
            <w:right w:val="none" w:sz="0" w:space="0" w:color="auto"/>
          </w:divBdr>
        </w:div>
        <w:div w:id="1066950046">
          <w:marLeft w:val="0"/>
          <w:marRight w:val="0"/>
          <w:marTop w:val="0"/>
          <w:marBottom w:val="0"/>
          <w:divBdr>
            <w:top w:val="none" w:sz="0" w:space="0" w:color="auto"/>
            <w:left w:val="none" w:sz="0" w:space="0" w:color="auto"/>
            <w:bottom w:val="none" w:sz="0" w:space="0" w:color="auto"/>
            <w:right w:val="none" w:sz="0" w:space="0" w:color="auto"/>
          </w:divBdr>
          <w:divsChild>
            <w:div w:id="787429754">
              <w:marLeft w:val="0"/>
              <w:marRight w:val="0"/>
              <w:marTop w:val="0"/>
              <w:marBottom w:val="0"/>
              <w:divBdr>
                <w:top w:val="none" w:sz="0" w:space="0" w:color="auto"/>
                <w:left w:val="none" w:sz="0" w:space="0" w:color="auto"/>
                <w:bottom w:val="none" w:sz="0" w:space="0" w:color="auto"/>
                <w:right w:val="none" w:sz="0" w:space="0" w:color="auto"/>
              </w:divBdr>
            </w:div>
            <w:div w:id="535122722">
              <w:marLeft w:val="0"/>
              <w:marRight w:val="0"/>
              <w:marTop w:val="0"/>
              <w:marBottom w:val="0"/>
              <w:divBdr>
                <w:top w:val="none" w:sz="0" w:space="0" w:color="auto"/>
                <w:left w:val="none" w:sz="0" w:space="0" w:color="auto"/>
                <w:bottom w:val="none" w:sz="0" w:space="0" w:color="auto"/>
                <w:right w:val="none" w:sz="0" w:space="0" w:color="auto"/>
              </w:divBdr>
            </w:div>
            <w:div w:id="1504511528">
              <w:marLeft w:val="0"/>
              <w:marRight w:val="0"/>
              <w:marTop w:val="0"/>
              <w:marBottom w:val="0"/>
              <w:divBdr>
                <w:top w:val="none" w:sz="0" w:space="0" w:color="auto"/>
                <w:left w:val="none" w:sz="0" w:space="0" w:color="auto"/>
                <w:bottom w:val="none" w:sz="0" w:space="0" w:color="auto"/>
                <w:right w:val="none" w:sz="0" w:space="0" w:color="auto"/>
              </w:divBdr>
            </w:div>
          </w:divsChild>
        </w:div>
        <w:div w:id="1095052711">
          <w:marLeft w:val="0"/>
          <w:marRight w:val="0"/>
          <w:marTop w:val="0"/>
          <w:marBottom w:val="0"/>
          <w:divBdr>
            <w:top w:val="none" w:sz="0" w:space="0" w:color="auto"/>
            <w:left w:val="none" w:sz="0" w:space="0" w:color="auto"/>
            <w:bottom w:val="none" w:sz="0" w:space="0" w:color="auto"/>
            <w:right w:val="none" w:sz="0" w:space="0" w:color="auto"/>
          </w:divBdr>
          <w:divsChild>
            <w:div w:id="246311422">
              <w:marLeft w:val="0"/>
              <w:marRight w:val="0"/>
              <w:marTop w:val="0"/>
              <w:marBottom w:val="0"/>
              <w:divBdr>
                <w:top w:val="none" w:sz="0" w:space="0" w:color="auto"/>
                <w:left w:val="none" w:sz="0" w:space="0" w:color="auto"/>
                <w:bottom w:val="none" w:sz="0" w:space="0" w:color="auto"/>
                <w:right w:val="none" w:sz="0" w:space="0" w:color="auto"/>
              </w:divBdr>
            </w:div>
            <w:div w:id="1441530848">
              <w:marLeft w:val="0"/>
              <w:marRight w:val="0"/>
              <w:marTop w:val="0"/>
              <w:marBottom w:val="0"/>
              <w:divBdr>
                <w:top w:val="none" w:sz="0" w:space="0" w:color="auto"/>
                <w:left w:val="none" w:sz="0" w:space="0" w:color="auto"/>
                <w:bottom w:val="none" w:sz="0" w:space="0" w:color="auto"/>
                <w:right w:val="none" w:sz="0" w:space="0" w:color="auto"/>
              </w:divBdr>
            </w:div>
            <w:div w:id="885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18" Type="http://schemas.openxmlformats.org/officeDocument/2006/relationships/hyperlink" Target="https://www.legifrance.gouv.fr/affichCodeArticle.do?cidTexte=LEGITEXT000006074075&amp;idArticle=LEGIARTI000031719338&amp;dateTexte=&amp;categorieLien=cid" TargetMode="External"/><Relationship Id="rId26" Type="http://schemas.openxmlformats.org/officeDocument/2006/relationships/hyperlink" Target="https://www.legifrance.gouv.fr/affichCodeArticle.do;jsessionid=270384AB87EACAFA5C6E8C918E85CB4B.tpdila07v_3?idArticle=LEGIARTI000031721300&amp;cidTexte=LEGITEXT000006074075&amp;dateTexte=20161109" TargetMode="External"/><Relationship Id="rId39" Type="http://schemas.openxmlformats.org/officeDocument/2006/relationships/hyperlink" Target="https://www.legifrance.gouv.fr/affichCodeArticle.do;jsessionid=270384AB87EACAFA5C6E8C918E85CB4B.tpdila07v_3?idArticle=LEGIARTI000031721290&amp;cidTexte=LEGITEXT000006074075&amp;dateTexte=20161109" TargetMode="External"/><Relationship Id="rId21" Type="http://schemas.openxmlformats.org/officeDocument/2006/relationships/hyperlink" Target="https://www.legifrance.gouv.fr/affichCodeArticle.do?cidTexte=LEGITEXT000006074075&amp;idArticle=LEGIARTI000006815714&amp;dateTexte=&amp;categorieLien=cid" TargetMode="External"/><Relationship Id="rId34"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42"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47" Type="http://schemas.openxmlformats.org/officeDocument/2006/relationships/hyperlink" Target="https://www.legifrance.gouv.fr/affichCodeArticle.do?cidTexte=LEGITEXT000006074075&amp;idArticle=LEGIARTI000031719362&amp;dateTexte=&amp;categorieLien=cid" TargetMode="External"/><Relationship Id="rId50" Type="http://schemas.openxmlformats.org/officeDocument/2006/relationships/hyperlink" Target="https://www.legifrance.gouv.fr/affichCodeArticle.do?cidTexte=LEGITEXT000006074075&amp;idArticle=LEGIARTI000031719358&amp;dateTexte=&amp;categorieLien=cid" TargetMode="External"/><Relationship Id="rId55" Type="http://schemas.openxmlformats.org/officeDocument/2006/relationships/hyperlink" Target="https://www.legifrance.gouv.fr/affichCodeArticle.do;jsessionid=43DDB6D7E19148293B78524BE6AA8966.tpdila07v_3?idArticle=LEGIARTI000031721276&amp;cidTexte=LEGITEXT000006074075&amp;dateTexte=20161109" TargetMode="External"/><Relationship Id="rId63" Type="http://schemas.openxmlformats.org/officeDocument/2006/relationships/hyperlink" Target="https://www.legifrance.gouv.fr/affichCodeArticle.do?cidTexte=LEGITEXT000006074075&amp;idArticle=LEGIARTI000031210213&amp;dateTexte=&amp;categorieLien=cid" TargetMode="External"/><Relationship Id="rId68" Type="http://schemas.openxmlformats.org/officeDocument/2006/relationships/hyperlink" Target="https://www.legifrance.gouv.fr/affichCodeArticle.do?cidTexte=LEGITEXT000006074075&amp;idArticle=LEGIARTI000031211434&amp;dateTexte=&amp;categorieLien=cid" TargetMode="External"/><Relationship Id="rId76" Type="http://schemas.openxmlformats.org/officeDocument/2006/relationships/hyperlink" Target="https://www.legifrance.gouv.fr/affichCodeArticle.do;jsessionid=43DDB6D7E19148293B78524BE6AA8966.tpdila07v_3?idArticle=LEGIARTI000031721258&amp;cidTexte=LEGITEXT000006074075&amp;dateTexte=20161109" TargetMode="External"/><Relationship Id="rId84" Type="http://schemas.openxmlformats.org/officeDocument/2006/relationships/fontTable" Target="fontTable.xml"/><Relationship Id="rId7" Type="http://schemas.openxmlformats.org/officeDocument/2006/relationships/hyperlink" Target="https://www.legifrance.gouv.fr/affichCodeArticle.do?cidTexte=LEGITEXT000006074075&amp;idArticle=LEGIARTI000031210070&amp;dateTexte=&amp;categorieLien=cid" TargetMode="External"/><Relationship Id="rId71"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2" Type="http://schemas.openxmlformats.org/officeDocument/2006/relationships/styles" Target="styles.xml"/><Relationship Id="rId16" Type="http://schemas.openxmlformats.org/officeDocument/2006/relationships/hyperlink" Target="https://www.legifrance.gouv.fr/affichCodeArticle.do;jsessionid=270384AB87EACAFA5C6E8C918E85CB4B.tpdila07v_3?idArticle=LEGIARTI000031721308&amp;cidTexte=LEGITEXT000006074075&amp;dateTexte=20161109" TargetMode="External"/><Relationship Id="rId29" Type="http://schemas.openxmlformats.org/officeDocument/2006/relationships/hyperlink" Target="https://www.legifrance.gouv.fr/affichCodeArticle.do;jsessionid=270384AB87EACAFA5C6E8C918E85CB4B.tpdila07v_3?idArticle=LEGIARTI000031721298&amp;cidTexte=LEGITEXT000006074075&amp;dateTexte=20161109" TargetMode="External"/><Relationship Id="rId11"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24" Type="http://schemas.openxmlformats.org/officeDocument/2006/relationships/hyperlink" Target="https://www.legifrance.gouv.fr/affichCodeArticle.do;jsessionid=270384AB87EACAFA5C6E8C918E85CB4B.tpdila07v_3?idArticle=LEGIARTI000031721302&amp;cidTexte=LEGITEXT000006074075&amp;dateTexte=20161109" TargetMode="External"/><Relationship Id="rId32"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37" Type="http://schemas.openxmlformats.org/officeDocument/2006/relationships/hyperlink" Target="https://www.legifrance.gouv.fr/affichCodeArticle.do?cidTexte=LEGITEXT000023501962&amp;idArticle=LEGIARTI000023504054&amp;dateTexte=&amp;categorieLien=cid" TargetMode="External"/><Relationship Id="rId40"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45" Type="http://schemas.openxmlformats.org/officeDocument/2006/relationships/hyperlink" Target="https://www.legifrance.gouv.fr/affichCodeArticle.do;jsessionid=270384AB87EACAFA5C6E8C918E85CB4B.tpdila07v_3?idArticle=LEGIARTI000031721284&amp;cidTexte=LEGITEXT000006074075&amp;dateTexte=20161109" TargetMode="External"/><Relationship Id="rId53"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58" Type="http://schemas.openxmlformats.org/officeDocument/2006/relationships/hyperlink" Target="https://www.legifrance.gouv.fr/affichCodeArticle.do;jsessionid=43DDB6D7E19148293B78524BE6AA8966.tpdila07v_3?idArticle=LEGIARTI000031721274&amp;cidTexte=LEGITEXT000006074075&amp;dateTexte=20161109" TargetMode="External"/><Relationship Id="rId66" Type="http://schemas.openxmlformats.org/officeDocument/2006/relationships/hyperlink" Target="https://www.legifrance.gouv.fr/affichCodeArticle.do?cidTexte=LEGITEXT000006074075&amp;idArticle=LEGIARTI000031210215&amp;dateTexte=&amp;categorieLien=cid" TargetMode="External"/><Relationship Id="rId74" Type="http://schemas.openxmlformats.org/officeDocument/2006/relationships/hyperlink" Target="https://www.legifrance.gouv.fr/affichCodeArticle.do?cidTexte=LEGITEXT000006074220&amp;idArticle=LEGIARTI000006832855&amp;dateTexte=&amp;categorieLien=cid" TargetMode="External"/><Relationship Id="rId79"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5" Type="http://schemas.openxmlformats.org/officeDocument/2006/relationships/hyperlink" Target="https://www.legifrance.gouv.fr/affichTexteArticle.do;jsessionid=72D40E0AC9E31686E753E9C7569A150E.tpdila17v_3?cidTexte=JORFTEXT000031204500&amp;idArticle=LEGIARTI000031207270&amp;dateTexte=20161116&amp;categorieLien=id" TargetMode="External"/><Relationship Id="rId61" Type="http://schemas.openxmlformats.org/officeDocument/2006/relationships/hyperlink" Target="https://www.legifrance.gouv.fr/affichCodeArticle.do;jsessionid=43DDB6D7E19148293B78524BE6AA8966.tpdila07v_3?idArticle=LEGIARTI000031721270&amp;cidTexte=LEGITEXT000006074075&amp;dateTexte=20161109" TargetMode="External"/><Relationship Id="rId82" Type="http://schemas.openxmlformats.org/officeDocument/2006/relationships/hyperlink" Target="https://www.legifrance.gouv.fr/affichCodeArticle.do;jsessionid=43DDB6D7E19148293B78524BE6AA8966.tpdila07v_3?idArticle=LEGIARTI000031721252&amp;cidTexte=LEGITEXT000006074075&amp;dateTexte=20161109" TargetMode="External"/><Relationship Id="rId19" Type="http://schemas.openxmlformats.org/officeDocument/2006/relationships/hyperlink" Target="https://www.legifrance.gouv.fr/affichCodeArticle.do;jsessionid=270384AB87EACAFA5C6E8C918E85CB4B.tpdila07v_3?idArticle=LEGIARTI000031721306&amp;cidTexte=LEGITEXT000006074075&amp;dateTexte=20161109"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14" Type="http://schemas.openxmlformats.org/officeDocument/2006/relationships/hyperlink" Target="https://www.legifrance.gouv.fr/affichCodeArticle.do;jsessionid=270384AB87EACAFA5C6E8C918E85CB4B.tpdila07v_3?idArticle=LEGIARTI000031721310&amp;cidTexte=LEGITEXT000006074075&amp;dateTexte=20161109" TargetMode="External"/><Relationship Id="rId22" Type="http://schemas.openxmlformats.org/officeDocument/2006/relationships/hyperlink" Target="https://www.legifrance.gouv.fr/affichCodeArticle.do;jsessionid=270384AB87EACAFA5C6E8C918E85CB4B.tpdila07v_3?idArticle=LEGIARTI000031721304&amp;cidTexte=LEGITEXT000006074075&amp;dateTexte=20161109" TargetMode="External"/><Relationship Id="rId27"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30"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35" Type="http://schemas.openxmlformats.org/officeDocument/2006/relationships/hyperlink" Target="https://www.legifrance.gouv.fr/affichCodeArticle.do;jsessionid=270384AB87EACAFA5C6E8C918E85CB4B.tpdila07v_3?idArticle=LEGIARTI000031721292&amp;cidTexte=LEGITEXT000006074075&amp;dateTexte=20161109" TargetMode="External"/><Relationship Id="rId43" Type="http://schemas.openxmlformats.org/officeDocument/2006/relationships/hyperlink" Target="https://www.legifrance.gouv.fr/affichCodeArticle.do;jsessionid=270384AB87EACAFA5C6E8C918E85CB4B.tpdila07v_3?idArticle=LEGIARTI000031721286&amp;cidTexte=LEGITEXT000006074075&amp;dateTexte=20161109" TargetMode="External"/><Relationship Id="rId48" Type="http://schemas.openxmlformats.org/officeDocument/2006/relationships/hyperlink" Target="https://www.legifrance.gouv.fr/affichCodeArticle.do;jsessionid=270384AB87EACAFA5C6E8C918E85CB4B.tpdila07v_3?idArticle=LEGIARTI000031721282&amp;cidTexte=LEGITEXT000006074075&amp;dateTexte=20161109" TargetMode="External"/><Relationship Id="rId56"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64" Type="http://schemas.openxmlformats.org/officeDocument/2006/relationships/hyperlink" Target="https://www.legifrance.gouv.fr/affichCodeArticle.do;jsessionid=43DDB6D7E19148293B78524BE6AA8966.tpdila07v_3?idArticle=LEGIARTI000031721268&amp;cidTexte=LEGITEXT000006074075&amp;dateTexte=20161109" TargetMode="External"/><Relationship Id="rId69" Type="http://schemas.openxmlformats.org/officeDocument/2006/relationships/hyperlink" Target="https://www.legifrance.gouv.fr/affichCodeArticle.do?cidTexte=LEGITEXT000006074075&amp;idArticle=LEGIARTI000031720209&amp;dateTexte=&amp;categorieLien=cid" TargetMode="External"/><Relationship Id="rId77"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8" Type="http://schemas.openxmlformats.org/officeDocument/2006/relationships/hyperlink" Target="https://www.legifrance.gouv.fr/affichCodeArticle.do;jsessionid=270384AB87EACAFA5C6E8C918E85CB4B.tpdila07v_3?idArticle=LEGIARTI000031721316&amp;cidTexte=LEGITEXT000006074075&amp;dateTexte=20161109" TargetMode="External"/><Relationship Id="rId51" Type="http://schemas.openxmlformats.org/officeDocument/2006/relationships/hyperlink" Target="https://www.legifrance.gouv.fr/affichCodeArticle.do?cidTexte=LEGITEXT000006074075&amp;idArticle=LEGIARTI000006815714&amp;dateTexte=&amp;categorieLien=cid" TargetMode="External"/><Relationship Id="rId72" Type="http://schemas.openxmlformats.org/officeDocument/2006/relationships/hyperlink" Target="https://www.legifrance.gouv.fr/affichCodeArticle.do;jsessionid=43DDB6D7E19148293B78524BE6AA8966.tpdila07v_3?idArticle=LEGIARTI000031721260&amp;cidTexte=LEGITEXT000006074075&amp;dateTexte=20161109" TargetMode="External"/><Relationship Id="rId80" Type="http://schemas.openxmlformats.org/officeDocument/2006/relationships/hyperlink" Target="https://www.legifrance.gouv.fr/affichCodeArticle.do;jsessionid=43DDB6D7E19148293B78524BE6AA8966.tpdila07v_3?idArticle=LEGIARTI000031721254&amp;cidTexte=LEGITEXT000006074075&amp;dateTexte=2016110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egifrance.gouv.fr/affichCodeArticle.do;jsessionid=270384AB87EACAFA5C6E8C918E85CB4B.tpdila07v_3?idArticle=LEGIARTI000031721312&amp;cidTexte=LEGITEXT000006074075&amp;dateTexte=20161109" TargetMode="External"/><Relationship Id="rId17"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25"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33" Type="http://schemas.openxmlformats.org/officeDocument/2006/relationships/hyperlink" Target="https://www.legifrance.gouv.fr/affichCodeArticle.do;jsessionid=270384AB87EACAFA5C6E8C918E85CB4B.tpdila07v_3?idArticle=LEGIARTI000031721294&amp;cidTexte=LEGITEXT000006074075&amp;dateTexte=20161109" TargetMode="External"/><Relationship Id="rId38" Type="http://schemas.openxmlformats.org/officeDocument/2006/relationships/hyperlink" Target="https://www.legifrance.gouv.fr/affichCodeArticle.do?cidTexte=LEGITEXT000023501962&amp;idArticle=LEGIARTI000023505647&amp;dateTexte=&amp;categorieLien=cid" TargetMode="External"/><Relationship Id="rId46"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59"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67" Type="http://schemas.openxmlformats.org/officeDocument/2006/relationships/hyperlink" Target="https://www.legifrance.gouv.fr/affichCodeArticle.do?cidTexte=LEGITEXT000006074075&amp;idArticle=LEGIARTI000031210213&amp;dateTexte=&amp;categorieLien=cid" TargetMode="External"/><Relationship Id="rId20"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41" Type="http://schemas.openxmlformats.org/officeDocument/2006/relationships/hyperlink" Target="https://www.legifrance.gouv.fr/affichCodeArticle.do;jsessionid=270384AB87EACAFA5C6E8C918E85CB4B.tpdila07v_3?idArticle=LEGIARTI000031721288&amp;cidTexte=LEGITEXT000006074075&amp;dateTexte=20161109" TargetMode="External"/><Relationship Id="rId54" Type="http://schemas.openxmlformats.org/officeDocument/2006/relationships/hyperlink" Target="https://www.legifrance.gouv.fr/affichCodeArticle.do?cidTexte=LEGITEXT000006074075&amp;idArticle=LEGIARTI000031210183&amp;dateTexte=&amp;categorieLien=cid" TargetMode="External"/><Relationship Id="rId62"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70" Type="http://schemas.openxmlformats.org/officeDocument/2006/relationships/hyperlink" Target="https://www.legifrance.gouv.fr/affichCodeArticle.do;jsessionid=43DDB6D7E19148293B78524BE6AA8966.tpdila07v_3?idArticle=LEGIARTI000031721264&amp;cidTexte=LEGITEXT000006074075&amp;dateTexte=20161109" TargetMode="External"/><Relationship Id="rId75" Type="http://schemas.openxmlformats.org/officeDocument/2006/relationships/hyperlink" Target="https://www.legifrance.gouv.fr/affichCodeArticle.do?cidTexte=LEGITEXT000006074220&amp;idArticle=LEGIARTI000006832857&amp;dateTexte=&amp;categorieLien=cid" TargetMode="External"/><Relationship Id="rId83"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1" Type="http://schemas.openxmlformats.org/officeDocument/2006/relationships/numbering" Target="numbering.xml"/><Relationship Id="rId6" Type="http://schemas.openxmlformats.org/officeDocument/2006/relationships/hyperlink" Target="https://www.legifrance.gouv.fr/affichTexteArticle.do;jsessionid=72D40E0AC9E31686E753E9C7569A150E.tpdila17v_3?cidTexte=JORFTEXT000031204500&amp;idArticle=LEGIARTI000031207270&amp;dateTexte=20161116&amp;categorieLien=id" TargetMode="External"/><Relationship Id="rId15"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23"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28" Type="http://schemas.openxmlformats.org/officeDocument/2006/relationships/hyperlink" Target="https://www.legifrance.gouv.fr/affichCodeArticle.do?cidTexte=LEGITEXT000006070633&amp;idArticle=LEGIARTI000006396196&amp;dateTexte=&amp;categorieLien=cid" TargetMode="External"/><Relationship Id="rId36"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49"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57" Type="http://schemas.openxmlformats.org/officeDocument/2006/relationships/hyperlink" Target="https://www.legifrance.gouv.fr/affichCodeArticle.do?cidTexte=LEGITEXT000006074075&amp;idArticle=LEGIARTI000006818218&amp;dateTexte=&amp;categorieLien=cid" TargetMode="External"/><Relationship Id="rId10" Type="http://schemas.openxmlformats.org/officeDocument/2006/relationships/hyperlink" Target="https://www.legifrance.gouv.fr/affichCodeArticle.do;jsessionid=270384AB87EACAFA5C6E8C918E85CB4B.tpdila07v_3?idArticle=LEGIARTI000031721314&amp;cidTexte=LEGITEXT000006074075&amp;dateTexte=20161109" TargetMode="External"/><Relationship Id="rId31" Type="http://schemas.openxmlformats.org/officeDocument/2006/relationships/hyperlink" Target="https://www.legifrance.gouv.fr/affichCodeArticle.do;jsessionid=270384AB87EACAFA5C6E8C918E85CB4B.tpdila07v_3?idArticle=LEGIARTI000031721296&amp;cidTexte=LEGITEXT000006074075&amp;dateTexte=20161109" TargetMode="External"/><Relationship Id="rId44" Type="http://schemas.openxmlformats.org/officeDocument/2006/relationships/hyperlink" Target="https://www.legifrance.gouv.fr/affichTexteArticle.do;jsessionid=270384AB87EACAFA5C6E8C918E85CB4B.tpdila07v_3?cidTexte=JORFTEXT000031704629&amp;idArticle=LEGIARTI000031717285&amp;dateTexte=20151229" TargetMode="External"/><Relationship Id="rId52" Type="http://schemas.openxmlformats.org/officeDocument/2006/relationships/hyperlink" Target="https://www.legifrance.gouv.fr/affichCodeArticle.do;jsessionid=270384AB87EACAFA5C6E8C918E85CB4B.tpdila07v_3?idArticle=LEGIARTI000031721280&amp;cidTexte=LEGITEXT000006074075&amp;dateTexte=20161109" TargetMode="External"/><Relationship Id="rId60" Type="http://schemas.openxmlformats.org/officeDocument/2006/relationships/hyperlink" Target="https://www.legifrance.gouv.fr/affichCodeArticle.do?cidTexte=LEGITEXT000006074096&amp;idArticle=LEGIARTI000006824508&amp;dateTexte=&amp;categorieLien=cid" TargetMode="External"/><Relationship Id="rId65"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73"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 Id="rId78" Type="http://schemas.openxmlformats.org/officeDocument/2006/relationships/hyperlink" Target="https://www.legifrance.gouv.fr/affichCodeArticle.do;jsessionid=43DDB6D7E19148293B78524BE6AA8966.tpdila07v_3?idArticle=LEGIARTI000031721256&amp;cidTexte=LEGITEXT000006074075&amp;dateTexte=20161109" TargetMode="External"/><Relationship Id="rId81" Type="http://schemas.openxmlformats.org/officeDocument/2006/relationships/hyperlink" Target="https://www.legifrance.gouv.fr/affichTexteArticle.do;jsessionid=43DDB6D7E19148293B78524BE6AA8966.tpdila07v_3?cidTexte=JORFTEXT000031704629&amp;idArticle=LEGIARTI000031717285&amp;dateTexte=201512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5685</Words>
  <Characters>31268</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HUMBLOT</dc:creator>
  <cp:keywords/>
  <dc:description/>
  <cp:lastModifiedBy>Baptiste HUMBLOT</cp:lastModifiedBy>
  <cp:revision>6</cp:revision>
  <cp:lastPrinted>2016-11-16T09:08:00Z</cp:lastPrinted>
  <dcterms:created xsi:type="dcterms:W3CDTF">2016-11-09T14:53:00Z</dcterms:created>
  <dcterms:modified xsi:type="dcterms:W3CDTF">2016-11-16T10:07:00Z</dcterms:modified>
</cp:coreProperties>
</file>